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B2B SaaS</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In B2B SaaS, value compounds through recurring revenue, so retention and expansion matter as much as new acquisition. The most important strategic question is whether net revenue retention and unit economics support efficient, durable growth.</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Recurring Revenue Growth</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Grow ARR durably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ARR / MRR growth</w:t>
            </w:r>
          </w:p>
          <w:p>
            <w:pPr>
              <w:spacing w:after="0" w:before="20"/>
            </w:pPr>
            <w:r>
              <w:rPr>
                <w:sz w:val="19"/>
                <w:szCs w:val="19"/>
              </w:rPr>
              <w:t xml:space="preserve">New ARR</w:t>
            </w:r>
          </w:p>
          <w:p>
            <w:pPr>
              <w:spacing w:after="0" w:before="20"/>
            </w:pPr>
            <w:r>
              <w:rPr>
                <w:sz w:val="19"/>
                <w:szCs w:val="19"/>
              </w:rPr>
              <w:t xml:space="preserve">Growth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Customer Acquisition</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Win new logos efficiently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New logos</w:t>
            </w:r>
          </w:p>
          <w:p>
            <w:pPr>
              <w:spacing w:after="0" w:before="20"/>
            </w:pPr>
            <w:r>
              <w:rPr>
                <w:sz w:val="19"/>
                <w:szCs w:val="19"/>
              </w:rPr>
              <w:t xml:space="preserve">CAC</w:t>
            </w:r>
          </w:p>
          <w:p>
            <w:pPr>
              <w:spacing w:after="0" w:before="20"/>
            </w:pPr>
            <w:r>
              <w:rPr>
                <w:sz w:val="19"/>
                <w:szCs w:val="19"/>
              </w:rPr>
              <w:t xml:space="preserve">Win rate</w:t>
            </w:r>
          </w:p>
          <w:p>
            <w:pPr>
              <w:spacing w:after="0" w:before="20"/>
            </w:pPr>
            <w:r>
              <w:rPr>
                <w:sz w:val="19"/>
                <w:szCs w:val="19"/>
              </w:rPr>
              <w:t xml:space="preserve">Pipeline conversion</w:t>
            </w:r>
          </w:p>
          <w:p>
            <w:pPr>
              <w:spacing w:after="0" w:before="20"/>
            </w:pPr>
            <w:r>
              <w:rPr>
                <w:sz w:val="19"/>
                <w:szCs w:val="19"/>
              </w:rPr>
              <w:t xml:space="preserve">Magic number</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Retention &amp; Expansion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Keep and grow existing accounts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Net Revenue Retention (NRR)</w:t>
            </w:r>
          </w:p>
          <w:p>
            <w:pPr>
              <w:spacing w:after="0" w:before="20"/>
            </w:pPr>
            <w:r>
              <w:rPr>
                <w:sz w:val="19"/>
                <w:szCs w:val="19"/>
              </w:rPr>
              <w:t xml:space="preserve">Gross Revenue Retention (GRR)</w:t>
            </w:r>
          </w:p>
          <w:p>
            <w:pPr>
              <w:spacing w:after="0" w:before="20"/>
            </w:pPr>
            <w:r>
              <w:rPr>
                <w:sz w:val="19"/>
                <w:szCs w:val="19"/>
              </w:rPr>
              <w:t xml:space="preserve">Logo churn</w:t>
            </w:r>
          </w:p>
          <w:p>
            <w:pPr>
              <w:spacing w:after="0" w:before="20"/>
            </w:pPr>
            <w:r>
              <w:rPr>
                <w:sz w:val="19"/>
                <w:szCs w:val="19"/>
              </w:rPr>
              <w:t xml:space="preserve">Expansion ARR</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Customer Success &amp; Adoption</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Drive value realization</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Product adoption / active usage</w:t>
            </w:r>
          </w:p>
          <w:p>
            <w:pPr>
              <w:spacing w:after="0" w:before="20"/>
            </w:pPr>
            <w:r>
              <w:rPr>
                <w:sz w:val="19"/>
                <w:szCs w:val="19"/>
              </w:rPr>
              <w:t xml:space="preserve">Time-to-value</w:t>
            </w:r>
          </w:p>
          <w:p>
            <w:pPr>
              <w:spacing w:after="0" w:before="20"/>
            </w:pPr>
            <w:r>
              <w:rPr>
                <w:sz w:val="19"/>
                <w:szCs w:val="19"/>
              </w:rPr>
              <w:t xml:space="preserve">Customer health score</w:t>
            </w:r>
          </w:p>
          <w:p>
            <w:pPr>
              <w:spacing w:after="0" w:before="20"/>
            </w:pPr>
            <w:r>
              <w:rPr>
                <w:sz w:val="19"/>
                <w:szCs w:val="19"/>
              </w:rPr>
              <w:t xml:space="preserve">CSAT / NPS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Unit Economics &amp; Efficiency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Grow profitably and capital-efficiently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CAC payback period</w:t>
            </w:r>
          </w:p>
          <w:p>
            <w:pPr>
              <w:spacing w:after="0" w:before="20"/>
            </w:pPr>
            <w:r>
              <w:rPr>
                <w:sz w:val="19"/>
                <w:szCs w:val="19"/>
              </w:rPr>
              <w:t xml:space="preserve">LTV / CAC ratio</w:t>
            </w:r>
          </w:p>
          <w:p>
            <w:pPr>
              <w:spacing w:after="0" w:before="20"/>
            </w:pPr>
            <w:r>
              <w:rPr>
                <w:sz w:val="19"/>
                <w:szCs w:val="19"/>
              </w:rPr>
              <w:t xml:space="preserve">Rule of 40</w:t>
            </w:r>
          </w:p>
          <w:p>
            <w:pPr>
              <w:spacing w:after="0" w:before="20"/>
            </w:pPr>
            <w:r>
              <w:rPr>
                <w:sz w:val="19"/>
                <w:szCs w:val="19"/>
              </w:rPr>
              <w:t xml:space="preserve">Sales efficiency</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Product-Led Growth &amp; Engagement</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Convert usage into revenue</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Activation rate</w:t>
            </w:r>
          </w:p>
          <w:p>
            <w:pPr>
              <w:spacing w:after="0" w:before="20"/>
            </w:pPr>
            <w:r>
              <w:rPr>
                <w:sz w:val="19"/>
                <w:szCs w:val="19"/>
              </w:rPr>
              <w:t xml:space="preserve">Product-Qualified Leads (PQLs)</w:t>
            </w:r>
          </w:p>
          <w:p>
            <w:pPr>
              <w:spacing w:after="0" w:before="20"/>
            </w:pPr>
            <w:r>
              <w:rPr>
                <w:sz w:val="19"/>
                <w:szCs w:val="19"/>
              </w:rPr>
              <w:t xml:space="preserve">Free-to-paid conversion</w:t>
            </w:r>
          </w:p>
          <w:p>
            <w:pPr>
              <w:spacing w:after="0" w:before="20"/>
            </w:pPr>
            <w:r>
              <w:rPr>
                <w:sz w:val="19"/>
                <w:szCs w:val="19"/>
              </w:rPr>
              <w:t xml:space="preserve">Engagement / stickiness (DAU/MAU)</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Profitability &amp; Cash</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Balance growth with burn</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Gross margin</w:t>
            </w:r>
          </w:p>
          <w:p>
            <w:pPr>
              <w:spacing w:after="0" w:before="20"/>
            </w:pPr>
            <w:r>
              <w:rPr>
                <w:sz w:val="19"/>
                <w:szCs w:val="19"/>
              </w:rPr>
              <w:t xml:space="preserve">Burn multiple</w:t>
            </w:r>
          </w:p>
          <w:p>
            <w:pPr>
              <w:spacing w:after="0" w:before="20"/>
            </w:pPr>
            <w:r>
              <w:rPr>
                <w:sz w:val="19"/>
                <w:szCs w:val="19"/>
              </w:rPr>
              <w:t xml:space="preserve">FCF margin</w:t>
            </w:r>
          </w:p>
          <w:p>
            <w:pPr>
              <w:spacing w:after="0" w:before="20"/>
            </w:pPr>
            <w:r>
              <w:rPr>
                <w:sz w:val="19"/>
                <w:szCs w:val="19"/>
              </w:rPr>
              <w:t xml:space="preserve">Rule of 40</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Market Expansion</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Extend into new segments and geos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TAM penetration</w:t>
            </w:r>
          </w:p>
          <w:p>
            <w:pPr>
              <w:spacing w:after="0" w:before="20"/>
            </w:pPr>
            <w:r>
              <w:rPr>
                <w:sz w:val="19"/>
                <w:szCs w:val="19"/>
              </w:rPr>
              <w:t xml:space="preserve">ACV growth</w:t>
            </w:r>
          </w:p>
          <w:p>
            <w:pPr>
              <w:spacing w:after="0" w:before="20"/>
            </w:pPr>
            <w:r>
              <w:rPr>
                <w:sz w:val="19"/>
                <w:szCs w:val="19"/>
              </w:rPr>
              <w:t xml:space="preserve">New segment / geo revenue</w:t>
            </w:r>
          </w:p>
        </w:tc>
      </w:tr>
    </w:tbl>
    <w:p>
      <w:pPr>
        <w:pStyle w:val="Heading1"/>
        <w:spacing w:before="280"/>
      </w:pPr>
      <w:r>
        <w:t xml:space="preserve">Strategic Tensions to Balance</w:t>
      </w:r>
    </w:p>
    <w:p>
      <w:pPr>
        <w:spacing w:after="120"/>
      </w:pPr>
      <w:r>
        <w:rPr>
          <w:sz w:val="22"/>
          <w:szCs w:val="22"/>
        </w:rPr>
        <w:t xml:space="preserve">The defining tension is growth versus efficiency, now commonly reconciled through the Rule of 40 (growth rate plus profit margin ≥ 40%). Net revenue retention above 100% means the installed base grows even without new logos, making retention the highest-leverage objective. Acquisition spend pulls against CAC payback discipline; the goal is efficient growth, not growth at any cost.</w:t>
      </w:r>
    </w:p>
    <w:p>
      <w:pPr>
        <w:pStyle w:val="Heading1"/>
        <w:spacing w:before="200"/>
      </w:pPr>
      <w:r>
        <w:t xml:space="preserve">Where Digital Strategy Fits</w:t>
      </w:r>
    </w:p>
    <w:p>
      <w:pPr>
        <w:spacing w:after="140"/>
      </w:pPr>
      <w:r>
        <w:rPr>
          <w:sz w:val="22"/>
          <w:szCs w:val="22"/>
        </w:rPr>
        <w:t xml:space="preserve">For B2B SaaS the product is the digital channel, so “digital strategy” is really go-to-market and product motion: how self-serve, sales-led and product-led approaches combine, and how data and AI differentiate the offering.</w:t>
      </w:r>
    </w:p>
    <w:p>
      <w:pPr>
        <w:pStyle w:val="ListParagraph"/>
        <w:numPr>
          <w:ilvl w:val="0"/>
          <w:numId w:val="2"/>
        </w:numPr>
        <w:spacing w:after="80"/>
      </w:pPr>
      <w:r>
        <w:rPr>
          <w:b/>
          <w:bCs/>
          <w:color w:val="1F3864"/>
        </w:rPr>
        <w:t xml:space="preserve">Product-led growth — </w:t>
      </w:r>
      <w:r>
        <w:t xml:space="preserve">self-serve signup and in-product activation lower CAC and seed expansion.</w:t>
      </w:r>
    </w:p>
    <w:p>
      <w:pPr>
        <w:pStyle w:val="ListParagraph"/>
        <w:numPr>
          <w:ilvl w:val="0"/>
          <w:numId w:val="2"/>
        </w:numPr>
        <w:spacing w:after="80"/>
      </w:pPr>
      <w:r>
        <w:rPr>
          <w:b/>
          <w:bCs/>
          <w:color w:val="1F3864"/>
        </w:rPr>
        <w:t xml:space="preserve">Onboarding — </w:t>
      </w:r>
      <w:r>
        <w:t xml:space="preserve">automated onboarding shortens time-to-value and improves retention.</w:t>
      </w:r>
    </w:p>
    <w:p>
      <w:pPr>
        <w:pStyle w:val="ListParagraph"/>
        <w:numPr>
          <w:ilvl w:val="0"/>
          <w:numId w:val="2"/>
        </w:numPr>
        <w:spacing w:after="80"/>
      </w:pPr>
      <w:r>
        <w:rPr>
          <w:b/>
          <w:bCs/>
          <w:color w:val="1F3864"/>
        </w:rPr>
        <w:t xml:space="preserve">Expansion — </w:t>
      </w:r>
      <w:r>
        <w:t xml:space="preserve">usage data and in-app prompts surface upsell at the point of value.</w:t>
      </w:r>
    </w:p>
    <w:p>
      <w:pPr>
        <w:pStyle w:val="ListParagraph"/>
        <w:numPr>
          <w:ilvl w:val="0"/>
          <w:numId w:val="2"/>
        </w:numPr>
        <w:spacing w:after="80"/>
      </w:pPr>
      <w:r>
        <w:rPr>
          <w:b/>
          <w:bCs/>
          <w:color w:val="1F3864"/>
        </w:rPr>
        <w:t xml:space="preserve">Differentiation — </w:t>
      </w:r>
      <w:r>
        <w:t xml:space="preserve">embedded AI and analytics raise stickiness and willingness to pay.</w:t>
      </w:r>
    </w:p>
    <w:p>
      <w:pPr>
        <w:pStyle w:val="ListParagraph"/>
        <w:numPr>
          <w:ilvl w:val="0"/>
          <w:numId w:val="2"/>
        </w:numPr>
        <w:spacing w:after="80"/>
      </w:pPr>
      <w:r>
        <w:rPr>
          <w:b/>
          <w:bCs/>
          <w:color w:val="1F3864"/>
        </w:rPr>
        <w:t xml:space="preserve">Ecosystem — </w:t>
      </w:r>
      <w:r>
        <w:t xml:space="preserve">integrations and platform APIs deepen switching costs and reach.</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Self-serve signup conversion; PLG-sourced ARR %; In-product activation rate; Onboarding automation rate; Feature adoption depth.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B2B SaaS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B2B SaaS — Strategy Best Practices</dc:title>
  <dc:creator>Strategy Reference Library</dc:creator>
  <cp:lastModifiedBy>Un-named</cp:lastModifiedBy>
  <cp:revision>1</cp:revision>
  <dcterms:created xsi:type="dcterms:W3CDTF">2026-06-11T00:39:35.245Z</dcterms:created>
  <dcterms:modified xsi:type="dcterms:W3CDTF">2026-06-11T00:39:35.245Z</dcterms:modified>
</cp:coreProperties>
</file>

<file path=docProps/custom.xml><?xml version="1.0" encoding="utf-8"?>
<Properties xmlns="http://schemas.openxmlformats.org/officeDocument/2006/custom-properties" xmlns:vt="http://schemas.openxmlformats.org/officeDocument/2006/docPropsVTypes"/>
</file>