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Healthcare Payer</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Health plans succeed by managing medical costs, growing and retaining membership, and improving quality scores that drive reimbursement and competitiveness. The medical loss ratio anchors the economics, while Star and HEDIS ratings increasingly shape revenue and market position.</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Medical Cost Management</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Control trend and utilization</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Medical Loss Ratio (MLR)</w:t>
            </w:r>
          </w:p>
          <w:p>
            <w:pPr>
              <w:spacing w:after="0" w:before="20"/>
            </w:pPr>
            <w:r>
              <w:rPr>
                <w:sz w:val="19"/>
                <w:szCs w:val="19"/>
              </w:rPr>
              <w:t xml:space="preserve">PMPM cost</w:t>
            </w:r>
          </w:p>
          <w:p>
            <w:pPr>
              <w:spacing w:after="0" w:before="20"/>
            </w:pPr>
            <w:r>
              <w:rPr>
                <w:sz w:val="19"/>
                <w:szCs w:val="19"/>
              </w:rPr>
              <w:t xml:space="preserve">Medical cost trend</w:t>
            </w:r>
          </w:p>
          <w:p>
            <w:pPr>
              <w:spacing w:after="0" w:before="20"/>
            </w:pPr>
            <w:r>
              <w:rPr>
                <w:sz w:val="19"/>
                <w:szCs w:val="19"/>
              </w:rPr>
              <w:t xml:space="preserve">Utilization rates</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Membership Growth &amp; Retention</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Grow and keep members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Membership growth</w:t>
            </w:r>
          </w:p>
          <w:p>
            <w:pPr>
              <w:spacing w:after="0" w:before="20"/>
            </w:pPr>
            <w:r>
              <w:rPr>
                <w:sz w:val="19"/>
                <w:szCs w:val="19"/>
              </w:rPr>
              <w:t xml:space="preserve">Member retention</w:t>
            </w:r>
          </w:p>
          <w:p>
            <w:pPr>
              <w:spacing w:after="0" w:before="20"/>
            </w:pPr>
            <w:r>
              <w:rPr>
                <w:sz w:val="19"/>
                <w:szCs w:val="19"/>
              </w:rPr>
              <w:t xml:space="preserve">New enrollment</w:t>
            </w:r>
          </w:p>
          <w:p>
            <w:pPr>
              <w:spacing w:after="0" w:before="20"/>
            </w:pPr>
            <w:r>
              <w:rPr>
                <w:sz w:val="19"/>
                <w:szCs w:val="19"/>
              </w:rPr>
              <w:t xml:space="preserve">Lapse rate</w:t>
            </w:r>
          </w:p>
          <w:p>
            <w:pPr>
              <w:spacing w:after="0" w:before="20"/>
            </w:pPr>
            <w:r>
              <w:rPr>
                <w:sz w:val="19"/>
                <w:szCs w:val="19"/>
              </w:rPr>
              <w:t xml:space="preserve">Market share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Financial Performance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Run an efficient, profitable plan</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Administrative cost ratio</w:t>
            </w:r>
          </w:p>
          <w:p>
            <w:pPr>
              <w:spacing w:after="0" w:before="20"/>
            </w:pPr>
            <w:r>
              <w:rPr>
                <w:sz w:val="19"/>
                <w:szCs w:val="19"/>
              </w:rPr>
              <w:t xml:space="preserve">Operating margin</w:t>
            </w:r>
          </w:p>
          <w:p>
            <w:pPr>
              <w:spacing w:after="0" w:before="20"/>
            </w:pPr>
            <w:r>
              <w:rPr>
                <w:sz w:val="19"/>
                <w:szCs w:val="19"/>
              </w:rPr>
              <w:t xml:space="preserve">Premium revenue growth</w:t>
            </w:r>
          </w:p>
          <w:p>
            <w:pPr>
              <w:spacing w:after="0" w:before="20"/>
            </w:pPr>
            <w:r>
              <w:rPr>
                <w:sz w:val="19"/>
                <w:szCs w:val="19"/>
              </w:rPr>
              <w:t xml:space="preserve">Profit margin</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Quality &amp; Star Ratings</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Improve measured quality and outcomes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CMS Star Ratings</w:t>
            </w:r>
          </w:p>
          <w:p>
            <w:pPr>
              <w:spacing w:after="0" w:before="20"/>
            </w:pPr>
            <w:r>
              <w:rPr>
                <w:sz w:val="19"/>
                <w:szCs w:val="19"/>
              </w:rPr>
              <w:t xml:space="preserve">HEDIS scores</w:t>
            </w:r>
          </w:p>
          <w:p>
            <w:pPr>
              <w:spacing w:after="0" w:before="20"/>
            </w:pPr>
            <w:r>
              <w:rPr>
                <w:sz w:val="19"/>
                <w:szCs w:val="19"/>
              </w:rPr>
              <w:t xml:space="preserve">Member health outcomes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Member Experience &amp; Engagement</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Improve satisfaction and engagement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NPS</w:t>
            </w:r>
          </w:p>
          <w:p>
            <w:pPr>
              <w:spacing w:after="0" w:before="20"/>
            </w:pPr>
            <w:r>
              <w:rPr>
                <w:sz w:val="19"/>
                <w:szCs w:val="19"/>
              </w:rPr>
              <w:t xml:space="preserve">CAHPS</w:t>
            </w:r>
          </w:p>
          <w:p>
            <w:pPr>
              <w:spacing w:after="0" w:before="20"/>
            </w:pPr>
            <w:r>
              <w:rPr>
                <w:sz w:val="19"/>
                <w:szCs w:val="19"/>
              </w:rPr>
              <w:t xml:space="preserve">Member satisfaction</w:t>
            </w:r>
          </w:p>
          <w:p>
            <w:pPr>
              <w:spacing w:after="0" w:before="20"/>
            </w:pPr>
            <w:r>
              <w:rPr>
                <w:sz w:val="19"/>
                <w:szCs w:val="19"/>
              </w:rPr>
              <w:t xml:space="preserve">Digital engagement</w:t>
            </w:r>
          </w:p>
          <w:p>
            <w:pPr>
              <w:spacing w:after="0" w:before="20"/>
            </w:pPr>
            <w:r>
              <w:rPr>
                <w:sz w:val="19"/>
                <w:szCs w:val="19"/>
              </w:rPr>
              <w:t xml:space="preserve">Call-center service levels</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Provider Network Management</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Build effective, value-based networks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Network adequacy</w:t>
            </w:r>
          </w:p>
          <w:p>
            <w:pPr>
              <w:spacing w:after="0" w:before="20"/>
            </w:pPr>
            <w:r>
              <w:rPr>
                <w:sz w:val="19"/>
                <w:szCs w:val="19"/>
              </w:rPr>
              <w:t xml:space="preserve">Provider satisfaction</w:t>
            </w:r>
          </w:p>
          <w:p>
            <w:pPr>
              <w:spacing w:after="0" w:before="20"/>
            </w:pPr>
            <w:r>
              <w:rPr>
                <w:sz w:val="19"/>
                <w:szCs w:val="19"/>
              </w:rPr>
              <w:t xml:space="preserve">Value-based contract penetration</w:t>
            </w:r>
          </w:p>
          <w:p>
            <w:pPr>
              <w:spacing w:after="0" w:before="20"/>
            </w:pPr>
            <w:r>
              <w:rPr>
                <w:sz w:val="19"/>
                <w:szCs w:val="19"/>
              </w:rPr>
              <w:t xml:space="preserve">In-network utilization</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Care &amp; Utilization Management</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Close gaps and avoid unnecessary cost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Prior-auth turnaround time</w:t>
            </w:r>
          </w:p>
          <w:p>
            <w:pPr>
              <w:spacing w:after="0" w:before="20"/>
            </w:pPr>
            <w:r>
              <w:rPr>
                <w:sz w:val="19"/>
                <w:szCs w:val="19"/>
              </w:rPr>
              <w:t xml:space="preserve">Care-management enrollment</w:t>
            </w:r>
          </w:p>
          <w:p>
            <w:pPr>
              <w:spacing w:after="0" w:before="20"/>
            </w:pPr>
            <w:r>
              <w:rPr>
                <w:sz w:val="19"/>
                <w:szCs w:val="19"/>
              </w:rPr>
              <w:t xml:space="preserve">Avoidable ED / admissions</w:t>
            </w:r>
          </w:p>
          <w:p>
            <w:pPr>
              <w:spacing w:after="0" w:before="20"/>
            </w:pPr>
            <w:r>
              <w:rPr>
                <w:sz w:val="19"/>
                <w:szCs w:val="19"/>
              </w:rPr>
              <w:t xml:space="preserve">Gaps-in-care closure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Risk &amp; Regulatory Compliance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Ensure accuracy and compliance</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Risk-adjustment accuracy</w:t>
            </w:r>
          </w:p>
          <w:p>
            <w:pPr>
              <w:spacing w:after="0" w:before="20"/>
            </w:pPr>
            <w:r>
              <w:rPr>
                <w:sz w:val="19"/>
                <w:szCs w:val="19"/>
              </w:rPr>
              <w:t xml:space="preserve">Regulatory compliance</w:t>
            </w:r>
          </w:p>
          <w:p>
            <w:pPr>
              <w:spacing w:after="0" w:before="20"/>
            </w:pPr>
            <w:r>
              <w:rPr>
                <w:sz w:val="19"/>
                <w:szCs w:val="19"/>
              </w:rPr>
              <w:t xml:space="preserve">Audit findings</w:t>
            </w:r>
          </w:p>
        </w:tc>
      </w:tr>
    </w:tbl>
    <w:p>
      <w:pPr>
        <w:pStyle w:val="Heading1"/>
        <w:spacing w:before="280"/>
      </w:pPr>
      <w:r>
        <w:t xml:space="preserve">Strategic Tensions to Balance</w:t>
      </w:r>
    </w:p>
    <w:p>
      <w:pPr>
        <w:spacing w:after="120"/>
      </w:pPr>
      <w:r>
        <w:rPr>
          <w:sz w:val="22"/>
          <w:szCs w:val="22"/>
        </w:rPr>
        <w:t xml:space="preserve">The MLR sits at the center of payer strategy: too high erodes margin, but cutting it through restrictive utilization management can damage Star ratings, member satisfaction and provider relationships — all of which feed back into revenue. The durable approach lowers cost through better care management and gap closure rather than access friction.</w:t>
      </w:r>
    </w:p>
    <w:p>
      <w:pPr>
        <w:pStyle w:val="Heading1"/>
        <w:spacing w:before="200"/>
      </w:pPr>
      <w:r>
        <w:t xml:space="preserve">Where Digital Strategy Fits</w:t>
      </w:r>
    </w:p>
    <w:p>
      <w:pPr>
        <w:spacing w:after="140"/>
      </w:pPr>
      <w:r>
        <w:rPr>
          <w:sz w:val="22"/>
          <w:szCs w:val="22"/>
        </w:rPr>
        <w:t xml:space="preserve">Digital lets payers engage members directly, automate high-volume transactions, and apply analytics to manage cost and quality proactively rather than retrospectively.</w:t>
      </w:r>
    </w:p>
    <w:p>
      <w:pPr>
        <w:pStyle w:val="ListParagraph"/>
        <w:numPr>
          <w:ilvl w:val="0"/>
          <w:numId w:val="2"/>
        </w:numPr>
        <w:spacing w:after="80"/>
      </w:pPr>
      <w:r>
        <w:rPr>
          <w:b/>
          <w:bCs/>
          <w:color w:val="1F3864"/>
        </w:rPr>
        <w:t xml:space="preserve">Member engagement — </w:t>
      </w:r>
      <w:r>
        <w:t xml:space="preserve">apps and portals improve satisfaction, gap closure and self-service.</w:t>
      </w:r>
    </w:p>
    <w:p>
      <w:pPr>
        <w:pStyle w:val="ListParagraph"/>
        <w:numPr>
          <w:ilvl w:val="0"/>
          <w:numId w:val="2"/>
        </w:numPr>
        <w:spacing w:after="80"/>
      </w:pPr>
      <w:r>
        <w:rPr>
          <w:b/>
          <w:bCs/>
          <w:color w:val="1F3864"/>
        </w:rPr>
        <w:t xml:space="preserve">Automation — </w:t>
      </w:r>
      <w:r>
        <w:t xml:space="preserve">auto-adjudication and digital prior auth cut administrative cost and turnaround.</w:t>
      </w:r>
    </w:p>
    <w:p>
      <w:pPr>
        <w:pStyle w:val="ListParagraph"/>
        <w:numPr>
          <w:ilvl w:val="0"/>
          <w:numId w:val="2"/>
        </w:numPr>
        <w:spacing w:after="80"/>
      </w:pPr>
      <w:r>
        <w:rPr>
          <w:b/>
          <w:bCs/>
          <w:color w:val="1F3864"/>
        </w:rPr>
        <w:t xml:space="preserve">Care management — </w:t>
      </w:r>
      <w:r>
        <w:t xml:space="preserve">predictive analytics identify rising-risk members for earlier intervention.</w:t>
      </w:r>
    </w:p>
    <w:p>
      <w:pPr>
        <w:pStyle w:val="ListParagraph"/>
        <w:numPr>
          <w:ilvl w:val="0"/>
          <w:numId w:val="2"/>
        </w:numPr>
        <w:spacing w:after="80"/>
      </w:pPr>
      <w:r>
        <w:rPr>
          <w:b/>
          <w:bCs/>
          <w:color w:val="1F3864"/>
        </w:rPr>
        <w:t xml:space="preserve">Quality — </w:t>
      </w:r>
      <w:r>
        <w:t xml:space="preserve">digital outreach supports HEDIS gap closure and Star-rating improvement.</w:t>
      </w:r>
    </w:p>
    <w:p>
      <w:pPr>
        <w:pStyle w:val="ListParagraph"/>
        <w:numPr>
          <w:ilvl w:val="0"/>
          <w:numId w:val="2"/>
        </w:numPr>
        <w:spacing w:after="80"/>
      </w:pPr>
      <w:r>
        <w:rPr>
          <w:b/>
          <w:bCs/>
          <w:color w:val="1F3864"/>
        </w:rPr>
        <w:t xml:space="preserve">Access — </w:t>
      </w:r>
      <w:r>
        <w:t xml:space="preserve">integrated telehealth steers members to lower-cost, convenient care.</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Digital member adoption; % claims auto-adjudicated; Digital prior-auth rate; Self-service rate; App / portal engagement.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Healthcare Payer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Payer — Strategy Best Practices</dc:title>
  <dc:creator>Strategy Reference Library</dc:creator>
  <cp:lastModifiedBy>Un-named</cp:lastModifiedBy>
  <cp:revision>1</cp:revision>
  <dcterms:created xsi:type="dcterms:W3CDTF">2026-06-11T00:39:35.161Z</dcterms:created>
  <dcterms:modified xsi:type="dcterms:W3CDTF">2026-06-11T00:39:35.161Z</dcterms:modified>
</cp:coreProperties>
</file>

<file path=docProps/custom.xml><?xml version="1.0" encoding="utf-8"?>
<Properties xmlns="http://schemas.openxmlformats.org/officeDocument/2006/custom-properties" xmlns:vt="http://schemas.openxmlformats.org/officeDocument/2006/docPropsVTypes"/>
</file>