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Healthcare Provider</w:t>
      </w:r>
    </w:p>
    <w:p>
      <w:pPr>
        <w:spacing w:after="40"/>
      </w:pPr>
      <w:r>
        <w:rPr>
          <w:color w:val="2E75B6"/>
          <w:sz w:val="26"/>
          <w:szCs w:val="26"/>
        </w:rPr>
        <w:t xml:space="preserve">Strategy Best Practices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Business Objectives, Key Performance Indicators &amp; Digital Strategy</w:t>
      </w:r>
    </w:p>
    <w:p>
      <w:pPr>
        <w:pBdr>
          <w:bottom w:val="single" w:color="2E75B6" w:sz="18" w:space="1"/>
        </w:pBdr>
        <w:spacing w:after="180" w:before="60"/>
      </w:pPr>
      <w:r>
        <w:t xml:space="preserve"/>
      </w:r>
    </w:p>
    <w:p>
      <w:pPr>
        <w:spacing w:after="200"/>
      </w:pPr>
      <w:r>
        <w:rPr>
          <w:sz w:val="22"/>
          <w:szCs w:val="22"/>
        </w:rPr>
        <w:t xml:space="preserve">Health systems and provider organizations balance three goals that can compete: high-quality clinical outcomes, accessible patient experience, and financial sustainability. Increasingly, performance under value-based care arrangements ties clinical quality directly to reimbursement.</w:t>
      </w:r>
    </w:p>
    <w:p>
      <w:pPr>
        <w:pStyle w:val="Heading1"/>
      </w:pPr>
      <w:r>
        <w:t xml:space="preserve">Core Business Objectives &amp; KPIs</w:t>
      </w:r>
    </w:p>
    <w:p>
      <w:pPr>
        <w:spacing w:after="140"/>
      </w:pPr>
      <w:r>
        <w:rPr>
          <w:i/>
          <w:iCs/>
          <w:color w:val="595959"/>
          <w:sz w:val="21"/>
          <w:szCs w:val="21"/>
        </w:rPr>
        <w:t xml:space="preserve">The objectives below are the themes most organizations in this sector track. They are managed in balance with one another rather than maximized individually.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60"/>
        <w:gridCol w:w="430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Objective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Strategic Focus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Performance Indicators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Clinical Quality &amp; Outcomes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Deliver safe, effective care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Readmission rate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Mortality / hospital-acquired condition rates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CMS Star / quality measures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Infection rates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Patient Access &amp; Volume Growth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Expand access and capture demand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Patient volume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New patient acquisition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Appointment wait times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Referral capture rate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Market share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Financial Sustainability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Maintain margin and liquidity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Operating margin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Cost per case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Days cash on hand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Days in A/R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Denial rate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Patient Experience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Improve satisfaction and ease of care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HCAHPS / patient satisfaction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NPS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Patient effort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Wait times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Operational Efficiency &amp; Capacity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Optimize throughput and utilization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Bed occupancy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Average Length of Stay (ALOS)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OR utilization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Staffing ratios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Workforce Engagement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Retain and sustain clinicians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Clinician burnout / turnover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Nurse vacancy rate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Staff engagement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Value-Based / Population Health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Manage total cost and outcomes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Total cost of care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Quality measure attainment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Preventive care rates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Risk-adjusted outcomes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Safety &amp; Regulatory Compliance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Ensure safety and accreditation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Patient safety events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Accreditation status</w:t>
            </w:r>
          </w:p>
          <w:p>
            <w:pPr>
              <w:spacing w:after="0" w:before="20"/>
            </w:pPr>
            <w:r>
              <w:rPr>
                <w:sz w:val="19"/>
                <w:szCs w:val="19"/>
              </w:rPr>
              <w:t xml:space="preserve">Compliance findings</w:t>
            </w:r>
          </w:p>
        </w:tc>
      </w:tr>
    </w:tbl>
    <w:p>
      <w:pPr>
        <w:pStyle w:val="Heading1"/>
        <w:spacing w:before="280"/>
      </w:pPr>
      <w:r>
        <w:t xml:space="preserve">Strategic Tensions to Balance</w:t>
      </w:r>
    </w:p>
    <w:p>
      <w:pPr>
        <w:spacing w:after="120"/>
      </w:pPr>
      <w:r>
        <w:rPr>
          <w:sz w:val="22"/>
          <w:szCs w:val="22"/>
        </w:rPr>
        <w:t xml:space="preserve">Provider strategy lives with structural tensions: throughput and length-of-stay targets pull against quality and safety; volume growth pulls against value-based incentives that reward avoiding unnecessary utilization; and margin pressure pulls against workforce investment that sustains both quality and access. Leading systems align these through care-model redesign rather than trade-offs alone.</w:t>
      </w:r>
    </w:p>
    <w:p>
      <w:pPr>
        <w:pStyle w:val="Heading1"/>
        <w:spacing w:before="200"/>
      </w:pPr>
      <w:r>
        <w:t xml:space="preserve">Where Digital Strategy Fits</w:t>
      </w:r>
    </w:p>
    <w:p>
      <w:pPr>
        <w:spacing w:after="140"/>
      </w:pPr>
      <w:r>
        <w:rPr>
          <w:sz w:val="22"/>
          <w:szCs w:val="22"/>
        </w:rPr>
        <w:t xml:space="preserve">Digital health is now central to access, experience and efficiency. The “digital front door” and virtual care extend reach, while data and automation relieve operational and clinician burden.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Access — </w:t>
      </w:r>
      <w:r>
        <w:t xml:space="preserve">telehealth and online scheduling expand capacity and reduce wait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Experience — </w:t>
      </w:r>
      <w:r>
        <w:t xml:space="preserve">patient portals and digital check-in lower effort and improve satisfaction.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Efficiency — </w:t>
      </w:r>
      <w:r>
        <w:t xml:space="preserve">EHR optimization and automation reduce administrative load and revenue-cycle friction.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Outcomes — </w:t>
      </w:r>
      <w:r>
        <w:t xml:space="preserve">remote patient monitoring and analytics support proactive, lower-cost care.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Workforce — </w:t>
      </w:r>
      <w:r>
        <w:t xml:space="preserve">ambient documentation and decision support help reduce clinician burnout.</w:t>
      </w:r>
    </w:p>
    <w:p>
      <w:pPr>
        <w:pStyle w:val="Heading2"/>
        <w:spacing w:before="160"/>
      </w:pPr>
      <w:r>
        <w:t xml:space="preserve">Digital-Specific KPIs</w:t>
      </w:r>
    </w:p>
    <w:p>
      <w:pPr>
        <w:spacing w:after="80"/>
      </w:pPr>
      <w:r>
        <w:rPr>
          <w:sz w:val="22"/>
          <w:szCs w:val="22"/>
        </w:rPr>
        <w:t xml:space="preserve">Alongside the headline KPIs above, the digital transformation is typically tracked through: </w:t>
      </w:r>
      <w:r>
        <w:rPr>
          <w:sz w:val="22"/>
          <w:szCs w:val="22"/>
        </w:rPr>
        <w:t xml:space="preserve">Telehealth visit volume / share; Patient portal adoption; Online scheduling rate; Digital check-in rate; Remote monitoring enrollment.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Healthcare Provider  |  Strategy Best Practices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Provider — Strategy Best Practices</dc:title>
  <dc:creator>Strategy Reference Library</dc:creator>
  <cp:lastModifiedBy>Un-named</cp:lastModifiedBy>
  <cp:revision>1</cp:revision>
  <dcterms:created xsi:type="dcterms:W3CDTF">2026-06-11T00:39:35.120Z</dcterms:created>
  <dcterms:modified xsi:type="dcterms:W3CDTF">2026-06-11T00:39:35.120Z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