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864"/>
          <w:sz w:val="40"/>
          <w:szCs w:val="40"/>
        </w:rPr>
        <w:t xml:space="preserve">Insurance</w:t>
      </w:r>
    </w:p>
    <w:p>
      <w:pPr>
        <w:spacing w:after="40"/>
      </w:pPr>
      <w:r>
        <w:rPr>
          <w:color w:val="2E75B6"/>
          <w:sz w:val="26"/>
          <w:szCs w:val="26"/>
        </w:rPr>
        <w:t xml:space="preserve">Strategy Best Practices</w:t>
      </w:r>
    </w:p>
    <w:p>
      <w:pPr>
        <w:spacing w:after="60"/>
      </w:pPr>
      <w:r>
        <w:rPr>
          <w:i/>
          <w:iCs/>
          <w:color w:val="595959"/>
          <w:sz w:val="20"/>
          <w:szCs w:val="20"/>
        </w:rPr>
        <w:t xml:space="preserve">Business Objectives, Key Performance Indicators &amp; Digital Strategy</w:t>
      </w:r>
    </w:p>
    <w:p>
      <w:pPr>
        <w:pBdr>
          <w:bottom w:val="single" w:color="2E75B6" w:sz="18" w:space="1"/>
        </w:pBdr>
        <w:spacing w:after="180" w:before="60"/>
      </w:pPr>
      <w:r>
        <w:t xml:space="preserve"/>
      </w:r>
    </w:p>
    <w:p>
      <w:pPr>
        <w:spacing w:after="200"/>
      </w:pPr>
      <w:r>
        <w:rPr>
          <w:sz w:val="22"/>
          <w:szCs w:val="22"/>
        </w:rPr>
        <w:t xml:space="preserve">Insurers create value through disciplined underwriting, efficient claims handling, and prudent management of reserves and investment assets. Profitability hinges on pricing risk accurately and controlling loss and expense ratios, while growth depends on distribution reach and policyholder persistency.</w:t>
      </w:r>
    </w:p>
    <w:p>
      <w:pPr>
        <w:pStyle w:val="Heading1"/>
      </w:pPr>
      <w:r>
        <w:t xml:space="preserve">Core Business Objectives &amp; KPIs</w:t>
      </w:r>
    </w:p>
    <w:p>
      <w:pPr>
        <w:spacing w:after="140"/>
      </w:pPr>
      <w:r>
        <w:rPr>
          <w:i/>
          <w:iCs/>
          <w:color w:val="595959"/>
          <w:sz w:val="21"/>
          <w:szCs w:val="21"/>
        </w:rPr>
        <w:t xml:space="preserve">The objectives below are the themes most organizations in this sector track. They are managed in balance with one another rather than maximized individually.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760"/>
        <w:gridCol w:w="4300"/>
      </w:tblGrid>
      <w:tr>
        <w:trPr>
          <w:cantSplit/>
          <w:tblHeader/>
        </w:trPr>
        <w:tc>
          <w:tcPr>
            <w:tcW w:type="dxa" w:w="23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Business Objective</w:t>
            </w:r>
          </w:p>
        </w:tc>
        <w:tc>
          <w:tcPr>
            <w:tcW w:type="dxa" w:w="27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Strategic Focus</w:t>
            </w:r>
          </w:p>
        </w:tc>
        <w:tc>
          <w:tcPr>
            <w:tcW w:type="dxa" w:w="43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Key Performance Indicators</w:t>
            </w:r>
          </w:p>
        </w:tc>
      </w:tr>
      <w:tr>
        <w:trPr>
          <w:cantSplit/>
        </w:trPr>
        <w:tc>
          <w:tcPr>
            <w:tcW w:type="dxa" w:w="2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b/>
                <w:bCs/>
                <w:color w:val="1F3864"/>
                <w:sz w:val="20"/>
                <w:szCs w:val="20"/>
              </w:rPr>
              <w:t xml:space="preserve">Underwriting Profitability</w:t>
            </w:r>
          </w:p>
        </w:tc>
        <w:tc>
          <w:tcPr>
            <w:tcW w:type="dxa" w:w="2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sz w:val="20"/>
                <w:szCs w:val="20"/>
              </w:rPr>
              <w:t xml:space="preserve">Price risk accurately and control losses</w:t>
            </w:r>
          </w:p>
        </w:tc>
        <w:tc>
          <w:tcPr>
            <w:tcW w:type="dxa" w:w="4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pPr>
              <w:spacing w:after="0" w:before="0"/>
            </w:pPr>
            <w:r>
              <w:rPr>
                <w:sz w:val="19"/>
                <w:szCs w:val="19"/>
              </w:rPr>
              <w:t xml:space="preserve">Combined ratio</w:t>
            </w:r>
          </w:p>
          <w:p>
            <w:pPr>
              <w:spacing w:after="0" w:before="20"/>
            </w:pPr>
            <w:r>
              <w:rPr>
                <w:sz w:val="19"/>
                <w:szCs w:val="19"/>
              </w:rPr>
              <w:t xml:space="preserve">Loss ratio</w:t>
            </w:r>
          </w:p>
          <w:p>
            <w:pPr>
              <w:spacing w:after="0" w:before="20"/>
            </w:pPr>
            <w:r>
              <w:rPr>
                <w:sz w:val="19"/>
                <w:szCs w:val="19"/>
              </w:rPr>
              <w:t xml:space="preserve">Expense ratio</w:t>
            </w:r>
          </w:p>
          <w:p>
            <w:pPr>
              <w:spacing w:after="0" w:before="20"/>
            </w:pPr>
            <w:r>
              <w:rPr>
                <w:sz w:val="19"/>
                <w:szCs w:val="19"/>
              </w:rPr>
              <w:t xml:space="preserve">Underwriting profit</w:t>
            </w:r>
          </w:p>
        </w:tc>
      </w:tr>
      <w:tr>
        <w:trPr>
          <w:cantSplit/>
        </w:trPr>
        <w:tc>
          <w:tcPr>
            <w:tcW w:type="dxa" w:w="2300"/>
            <w:tcBorders>
              <w:top w:val="single" w:color="BFBFBF" w:sz="1"/>
              <w:left w:val="single" w:color="BFBFBF" w:sz="1"/>
              <w:bottom w:val="single" w:color="BFBFBF" w:sz="1"/>
              <w:right w:val="single" w:color="BFBFBF" w:sz="1"/>
            </w:tcBorders>
            <w:shd w:fill="F2F6FB" w:val="clear"/>
            <w:tcMar>
              <w:top w:type="dxa" w:w="80"/>
              <w:left w:type="dxa" w:w="120"/>
              <w:bottom w:type="dxa" w:w="80"/>
              <w:right w:type="dxa" w:w="120"/>
            </w:tcMar>
            <w:vAlign w:val="top"/>
          </w:tcPr>
          <w:p>
            <w:r>
              <w:rPr>
                <w:b/>
                <w:bCs/>
                <w:color w:val="1F3864"/>
                <w:sz w:val="20"/>
                <w:szCs w:val="20"/>
              </w:rPr>
              <w:t xml:space="preserve">Premium Growth &amp; Market Share</w:t>
            </w:r>
          </w:p>
        </w:tc>
        <w:tc>
          <w:tcPr>
            <w:tcW w:type="dxa" w:w="2760"/>
            <w:tcBorders>
              <w:top w:val="single" w:color="BFBFBF" w:sz="1"/>
              <w:left w:val="single" w:color="BFBFBF" w:sz="1"/>
              <w:bottom w:val="single" w:color="BFBFBF" w:sz="1"/>
              <w:right w:val="single" w:color="BFBFBF" w:sz="1"/>
            </w:tcBorders>
            <w:shd w:fill="F2F6FB" w:val="clear"/>
            <w:tcMar>
              <w:top w:type="dxa" w:w="80"/>
              <w:left w:type="dxa" w:w="120"/>
              <w:bottom w:type="dxa" w:w="80"/>
              <w:right w:type="dxa" w:w="120"/>
            </w:tcMar>
            <w:vAlign w:val="top"/>
          </w:tcPr>
          <w:p>
            <w:r>
              <w:rPr>
                <w:sz w:val="20"/>
                <w:szCs w:val="20"/>
              </w:rPr>
              <w:t xml:space="preserve">Grow the book profitably</w:t>
            </w:r>
          </w:p>
        </w:tc>
        <w:tc>
          <w:tcPr>
            <w:tcW w:type="dxa" w:w="4300"/>
            <w:tcBorders>
              <w:top w:val="single" w:color="BFBFBF" w:sz="1"/>
              <w:left w:val="single" w:color="BFBFBF" w:sz="1"/>
              <w:bottom w:val="single" w:color="BFBFBF" w:sz="1"/>
              <w:right w:val="single" w:color="BFBFBF" w:sz="1"/>
            </w:tcBorders>
            <w:shd w:fill="F2F6FB" w:val="clear"/>
            <w:tcMar>
              <w:top w:type="dxa" w:w="80"/>
              <w:left w:type="dxa" w:w="120"/>
              <w:bottom w:type="dxa" w:w="80"/>
              <w:right w:type="dxa" w:w="120"/>
            </w:tcMar>
            <w:vAlign w:val="top"/>
          </w:tcPr>
          <w:p>
            <w:pPr>
              <w:spacing w:after="0" w:before="0"/>
            </w:pPr>
            <w:r>
              <w:rPr>
                <w:sz w:val="19"/>
                <w:szCs w:val="19"/>
              </w:rPr>
              <w:t xml:space="preserve">Gross Written Premium (GWP) growth</w:t>
            </w:r>
          </w:p>
          <w:p>
            <w:pPr>
              <w:spacing w:after="0" w:before="20"/>
            </w:pPr>
            <w:r>
              <w:rPr>
                <w:sz w:val="19"/>
                <w:szCs w:val="19"/>
              </w:rPr>
              <w:t xml:space="preserve">New business premium</w:t>
            </w:r>
          </w:p>
          <w:p>
            <w:pPr>
              <w:spacing w:after="0" w:before="20"/>
            </w:pPr>
            <w:r>
              <w:rPr>
                <w:sz w:val="19"/>
                <w:szCs w:val="19"/>
              </w:rPr>
              <w:t xml:space="preserve">Policies in force</w:t>
            </w:r>
          </w:p>
          <w:p>
            <w:pPr>
              <w:spacing w:after="0" w:before="20"/>
            </w:pPr>
            <w:r>
              <w:rPr>
                <w:sz w:val="19"/>
                <w:szCs w:val="19"/>
              </w:rPr>
              <w:t xml:space="preserve">Market share</w:t>
            </w:r>
          </w:p>
        </w:tc>
      </w:tr>
      <w:tr>
        <w:trPr>
          <w:cantSplit/>
        </w:trPr>
        <w:tc>
          <w:tcPr>
            <w:tcW w:type="dxa" w:w="2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b/>
                <w:bCs/>
                <w:color w:val="1F3864"/>
                <w:sz w:val="20"/>
                <w:szCs w:val="20"/>
              </w:rPr>
              <w:t xml:space="preserve">Retention &amp; Persistency</w:t>
            </w:r>
          </w:p>
        </w:tc>
        <w:tc>
          <w:tcPr>
            <w:tcW w:type="dxa" w:w="2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sz w:val="20"/>
                <w:szCs w:val="20"/>
              </w:rPr>
              <w:t xml:space="preserve">Keep policies on the books</w:t>
            </w:r>
          </w:p>
        </w:tc>
        <w:tc>
          <w:tcPr>
            <w:tcW w:type="dxa" w:w="4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pPr>
              <w:spacing w:after="0" w:before="0"/>
            </w:pPr>
            <w:r>
              <w:rPr>
                <w:sz w:val="19"/>
                <w:szCs w:val="19"/>
              </w:rPr>
              <w:t xml:space="preserve">Policy renewal / retention rate</w:t>
            </w:r>
          </w:p>
          <w:p>
            <w:pPr>
              <w:spacing w:after="0" w:before="20"/>
            </w:pPr>
            <w:r>
              <w:rPr>
                <w:sz w:val="19"/>
                <w:szCs w:val="19"/>
              </w:rPr>
              <w:t xml:space="preserve">Persistency rate</w:t>
            </w:r>
          </w:p>
          <w:p>
            <w:pPr>
              <w:spacing w:after="0" w:before="20"/>
            </w:pPr>
            <w:r>
              <w:rPr>
                <w:sz w:val="19"/>
                <w:szCs w:val="19"/>
              </w:rPr>
              <w:t xml:space="preserve">Lapse rate</w:t>
            </w:r>
          </w:p>
          <w:p>
            <w:pPr>
              <w:spacing w:after="0" w:before="20"/>
            </w:pPr>
            <w:r>
              <w:rPr>
                <w:sz w:val="19"/>
                <w:szCs w:val="19"/>
              </w:rPr>
              <w:t xml:space="preserve">NPS</w:t>
            </w:r>
          </w:p>
        </w:tc>
      </w:tr>
      <w:tr>
        <w:trPr>
          <w:cantSplit/>
        </w:trPr>
        <w:tc>
          <w:tcPr>
            <w:tcW w:type="dxa" w:w="2300"/>
            <w:tcBorders>
              <w:top w:val="single" w:color="BFBFBF" w:sz="1"/>
              <w:left w:val="single" w:color="BFBFBF" w:sz="1"/>
              <w:bottom w:val="single" w:color="BFBFBF" w:sz="1"/>
              <w:right w:val="single" w:color="BFBFBF" w:sz="1"/>
            </w:tcBorders>
            <w:shd w:fill="F2F6FB" w:val="clear"/>
            <w:tcMar>
              <w:top w:type="dxa" w:w="80"/>
              <w:left w:type="dxa" w:w="120"/>
              <w:bottom w:type="dxa" w:w="80"/>
              <w:right w:type="dxa" w:w="120"/>
            </w:tcMar>
            <w:vAlign w:val="top"/>
          </w:tcPr>
          <w:p>
            <w:r>
              <w:rPr>
                <w:b/>
                <w:bCs/>
                <w:color w:val="1F3864"/>
                <w:sz w:val="20"/>
                <w:szCs w:val="20"/>
              </w:rPr>
              <w:t xml:space="preserve">Claims Management &amp; Efficiency</w:t>
            </w:r>
          </w:p>
        </w:tc>
        <w:tc>
          <w:tcPr>
            <w:tcW w:type="dxa" w:w="2760"/>
            <w:tcBorders>
              <w:top w:val="single" w:color="BFBFBF" w:sz="1"/>
              <w:left w:val="single" w:color="BFBFBF" w:sz="1"/>
              <w:bottom w:val="single" w:color="BFBFBF" w:sz="1"/>
              <w:right w:val="single" w:color="BFBFBF" w:sz="1"/>
            </w:tcBorders>
            <w:shd w:fill="F2F6FB" w:val="clear"/>
            <w:tcMar>
              <w:top w:type="dxa" w:w="80"/>
              <w:left w:type="dxa" w:w="120"/>
              <w:bottom w:type="dxa" w:w="80"/>
              <w:right w:type="dxa" w:w="120"/>
            </w:tcMar>
            <w:vAlign w:val="top"/>
          </w:tcPr>
          <w:p>
            <w:r>
              <w:rPr>
                <w:sz w:val="20"/>
                <w:szCs w:val="20"/>
              </w:rPr>
              <w:t xml:space="preserve">Settle fairly, quickly and accurately</w:t>
            </w:r>
          </w:p>
        </w:tc>
        <w:tc>
          <w:tcPr>
            <w:tcW w:type="dxa" w:w="4300"/>
            <w:tcBorders>
              <w:top w:val="single" w:color="BFBFBF" w:sz="1"/>
              <w:left w:val="single" w:color="BFBFBF" w:sz="1"/>
              <w:bottom w:val="single" w:color="BFBFBF" w:sz="1"/>
              <w:right w:val="single" w:color="BFBFBF" w:sz="1"/>
            </w:tcBorders>
            <w:shd w:fill="F2F6FB" w:val="clear"/>
            <w:tcMar>
              <w:top w:type="dxa" w:w="80"/>
              <w:left w:type="dxa" w:w="120"/>
              <w:bottom w:type="dxa" w:w="80"/>
              <w:right w:type="dxa" w:w="120"/>
            </w:tcMar>
            <w:vAlign w:val="top"/>
          </w:tcPr>
          <w:p>
            <w:pPr>
              <w:spacing w:after="0" w:before="0"/>
            </w:pPr>
            <w:r>
              <w:rPr>
                <w:sz w:val="19"/>
                <w:szCs w:val="19"/>
              </w:rPr>
              <w:t xml:space="preserve">Claims cycle time</w:t>
            </w:r>
          </w:p>
          <w:p>
            <w:pPr>
              <w:spacing w:after="0" w:before="20"/>
            </w:pPr>
            <w:r>
              <w:rPr>
                <w:sz w:val="19"/>
                <w:szCs w:val="19"/>
              </w:rPr>
              <w:t xml:space="preserve">Claims settlement ratio</w:t>
            </w:r>
          </w:p>
          <w:p>
            <w:pPr>
              <w:spacing w:after="0" w:before="20"/>
            </w:pPr>
            <w:r>
              <w:rPr>
                <w:sz w:val="19"/>
                <w:szCs w:val="19"/>
              </w:rPr>
              <w:t xml:space="preserve">Loss Adjustment Expense (LAE) ratio</w:t>
            </w:r>
          </w:p>
          <w:p>
            <w:pPr>
              <w:spacing w:after="0" w:before="20"/>
            </w:pPr>
            <w:r>
              <w:rPr>
                <w:sz w:val="19"/>
                <w:szCs w:val="19"/>
              </w:rPr>
              <w:t xml:space="preserve">Claims leakage</w:t>
            </w:r>
          </w:p>
          <w:p>
            <w:pPr>
              <w:spacing w:after="0" w:before="20"/>
            </w:pPr>
            <w:r>
              <w:rPr>
                <w:sz w:val="19"/>
                <w:szCs w:val="19"/>
              </w:rPr>
              <w:t xml:space="preserve">Fraud detection rate</w:t>
            </w:r>
          </w:p>
        </w:tc>
      </w:tr>
      <w:tr>
        <w:trPr>
          <w:cantSplit/>
        </w:trPr>
        <w:tc>
          <w:tcPr>
            <w:tcW w:type="dxa" w:w="2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b/>
                <w:bCs/>
                <w:color w:val="1F3864"/>
                <w:sz w:val="20"/>
                <w:szCs w:val="20"/>
              </w:rPr>
              <w:t xml:space="preserve">Distribution Effectiveness</w:t>
            </w:r>
          </w:p>
        </w:tc>
        <w:tc>
          <w:tcPr>
            <w:tcW w:type="dxa" w:w="2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sz w:val="20"/>
                <w:szCs w:val="20"/>
              </w:rPr>
              <w:t xml:space="preserve">Maximize productive channel reach</w:t>
            </w:r>
          </w:p>
        </w:tc>
        <w:tc>
          <w:tcPr>
            <w:tcW w:type="dxa" w:w="4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pPr>
              <w:spacing w:after="0" w:before="0"/>
            </w:pPr>
            <w:r>
              <w:rPr>
                <w:sz w:val="19"/>
                <w:szCs w:val="19"/>
              </w:rPr>
              <w:t xml:space="preserve">New business by channel</w:t>
            </w:r>
          </w:p>
          <w:p>
            <w:pPr>
              <w:spacing w:after="0" w:before="20"/>
            </w:pPr>
            <w:r>
              <w:rPr>
                <w:sz w:val="19"/>
                <w:szCs w:val="19"/>
              </w:rPr>
              <w:t xml:space="preserve">Quote-to-bind ratio</w:t>
            </w:r>
          </w:p>
          <w:p>
            <w:pPr>
              <w:spacing w:after="0" w:before="20"/>
            </w:pPr>
            <w:r>
              <w:rPr>
                <w:sz w:val="19"/>
                <w:szCs w:val="19"/>
              </w:rPr>
              <w:t xml:space="preserve">Agent / broker productivity</w:t>
            </w:r>
          </w:p>
          <w:p>
            <w:pPr>
              <w:spacing w:after="0" w:before="20"/>
            </w:pPr>
            <w:r>
              <w:rPr>
                <w:sz w:val="19"/>
                <w:szCs w:val="19"/>
              </w:rPr>
              <w:t xml:space="preserve">Producer retention</w:t>
            </w:r>
          </w:p>
        </w:tc>
      </w:tr>
      <w:tr>
        <w:trPr>
          <w:cantSplit/>
        </w:trPr>
        <w:tc>
          <w:tcPr>
            <w:tcW w:type="dxa" w:w="2300"/>
            <w:tcBorders>
              <w:top w:val="single" w:color="BFBFBF" w:sz="1"/>
              <w:left w:val="single" w:color="BFBFBF" w:sz="1"/>
              <w:bottom w:val="single" w:color="BFBFBF" w:sz="1"/>
              <w:right w:val="single" w:color="BFBFBF" w:sz="1"/>
            </w:tcBorders>
            <w:shd w:fill="F2F6FB" w:val="clear"/>
            <w:tcMar>
              <w:top w:type="dxa" w:w="80"/>
              <w:left w:type="dxa" w:w="120"/>
              <w:bottom w:type="dxa" w:w="80"/>
              <w:right w:type="dxa" w:w="120"/>
            </w:tcMar>
            <w:vAlign w:val="top"/>
          </w:tcPr>
          <w:p>
            <w:r>
              <w:rPr>
                <w:b/>
                <w:bCs/>
                <w:color w:val="1F3864"/>
                <w:sz w:val="20"/>
                <w:szCs w:val="20"/>
              </w:rPr>
              <w:t xml:space="preserve">Investment &amp; Capital Management</w:t>
            </w:r>
          </w:p>
        </w:tc>
        <w:tc>
          <w:tcPr>
            <w:tcW w:type="dxa" w:w="2760"/>
            <w:tcBorders>
              <w:top w:val="single" w:color="BFBFBF" w:sz="1"/>
              <w:left w:val="single" w:color="BFBFBF" w:sz="1"/>
              <w:bottom w:val="single" w:color="BFBFBF" w:sz="1"/>
              <w:right w:val="single" w:color="BFBFBF" w:sz="1"/>
            </w:tcBorders>
            <w:shd w:fill="F2F6FB" w:val="clear"/>
            <w:tcMar>
              <w:top w:type="dxa" w:w="80"/>
              <w:left w:type="dxa" w:w="120"/>
              <w:bottom w:type="dxa" w:w="80"/>
              <w:right w:type="dxa" w:w="120"/>
            </w:tcMar>
            <w:vAlign w:val="top"/>
          </w:tcPr>
          <w:p>
            <w:r>
              <w:rPr>
                <w:sz w:val="20"/>
                <w:szCs w:val="20"/>
              </w:rPr>
              <w:t xml:space="preserve">Generate returns and hold adequate capital</w:t>
            </w:r>
          </w:p>
        </w:tc>
        <w:tc>
          <w:tcPr>
            <w:tcW w:type="dxa" w:w="4300"/>
            <w:tcBorders>
              <w:top w:val="single" w:color="BFBFBF" w:sz="1"/>
              <w:left w:val="single" w:color="BFBFBF" w:sz="1"/>
              <w:bottom w:val="single" w:color="BFBFBF" w:sz="1"/>
              <w:right w:val="single" w:color="BFBFBF" w:sz="1"/>
            </w:tcBorders>
            <w:shd w:fill="F2F6FB" w:val="clear"/>
            <w:tcMar>
              <w:top w:type="dxa" w:w="80"/>
              <w:left w:type="dxa" w:w="120"/>
              <w:bottom w:type="dxa" w:w="80"/>
              <w:right w:type="dxa" w:w="120"/>
            </w:tcMar>
            <w:vAlign w:val="top"/>
          </w:tcPr>
          <w:p>
            <w:pPr>
              <w:spacing w:after="0" w:before="0"/>
            </w:pPr>
            <w:r>
              <w:rPr>
                <w:sz w:val="19"/>
                <w:szCs w:val="19"/>
              </w:rPr>
              <w:t xml:space="preserve">Investment yield / return</w:t>
            </w:r>
          </w:p>
          <w:p>
            <w:pPr>
              <w:spacing w:after="0" w:before="20"/>
            </w:pPr>
            <w:r>
              <w:rPr>
                <w:sz w:val="19"/>
                <w:szCs w:val="19"/>
              </w:rPr>
              <w:t xml:space="preserve">Solvency ratio (Solvency II / RBC)</w:t>
            </w:r>
          </w:p>
          <w:p>
            <w:pPr>
              <w:spacing w:after="0" w:before="20"/>
            </w:pPr>
            <w:r>
              <w:rPr>
                <w:sz w:val="19"/>
                <w:szCs w:val="19"/>
              </w:rPr>
              <w:t xml:space="preserve">Reserve adequacy</w:t>
            </w:r>
          </w:p>
        </w:tc>
      </w:tr>
      <w:tr>
        <w:trPr>
          <w:cantSplit/>
        </w:trPr>
        <w:tc>
          <w:tcPr>
            <w:tcW w:type="dxa" w:w="2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b/>
                <w:bCs/>
                <w:color w:val="1F3864"/>
                <w:sz w:val="20"/>
                <w:szCs w:val="20"/>
              </w:rPr>
              <w:t xml:space="preserve">Risk &amp; Regulatory Compliance</w:t>
            </w:r>
          </w:p>
        </w:tc>
        <w:tc>
          <w:tcPr>
            <w:tcW w:type="dxa" w:w="2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sz w:val="20"/>
                <w:szCs w:val="20"/>
              </w:rPr>
              <w:t xml:space="preserve">Maintain solvency and compliance</w:t>
            </w:r>
          </w:p>
        </w:tc>
        <w:tc>
          <w:tcPr>
            <w:tcW w:type="dxa" w:w="4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pPr>
              <w:spacing w:after="0" w:before="0"/>
            </w:pPr>
            <w:r>
              <w:rPr>
                <w:sz w:val="19"/>
                <w:szCs w:val="19"/>
              </w:rPr>
              <w:t xml:space="preserve">Solvency capital ratio</w:t>
            </w:r>
          </w:p>
          <w:p>
            <w:pPr>
              <w:spacing w:after="0" w:before="20"/>
            </w:pPr>
            <w:r>
              <w:rPr>
                <w:sz w:val="19"/>
                <w:szCs w:val="19"/>
              </w:rPr>
              <w:t xml:space="preserve">Reserve adequacy</w:t>
            </w:r>
          </w:p>
          <w:p>
            <w:pPr>
              <w:spacing w:after="0" w:before="20"/>
            </w:pPr>
            <w:r>
              <w:rPr>
                <w:sz w:val="19"/>
                <w:szCs w:val="19"/>
              </w:rPr>
              <w:t xml:space="preserve">Regulatory breaches</w:t>
            </w:r>
          </w:p>
          <w:p>
            <w:pPr>
              <w:spacing w:after="0" w:before="20"/>
            </w:pPr>
            <w:r>
              <w:rPr>
                <w:sz w:val="19"/>
                <w:szCs w:val="19"/>
              </w:rPr>
              <w:t xml:space="preserve">Audit findings</w:t>
            </w:r>
          </w:p>
        </w:tc>
      </w:tr>
      <w:tr>
        <w:trPr>
          <w:cantSplit/>
        </w:trPr>
        <w:tc>
          <w:tcPr>
            <w:tcW w:type="dxa" w:w="2300"/>
            <w:tcBorders>
              <w:top w:val="single" w:color="BFBFBF" w:sz="1"/>
              <w:left w:val="single" w:color="BFBFBF" w:sz="1"/>
              <w:bottom w:val="single" w:color="BFBFBF" w:sz="1"/>
              <w:right w:val="single" w:color="BFBFBF" w:sz="1"/>
            </w:tcBorders>
            <w:shd w:fill="F2F6FB" w:val="clear"/>
            <w:tcMar>
              <w:top w:type="dxa" w:w="80"/>
              <w:left w:type="dxa" w:w="120"/>
              <w:bottom w:type="dxa" w:w="80"/>
              <w:right w:type="dxa" w:w="120"/>
            </w:tcMar>
            <w:vAlign w:val="top"/>
          </w:tcPr>
          <w:p>
            <w:r>
              <w:rPr>
                <w:b/>
                <w:bCs/>
                <w:color w:val="1F3864"/>
                <w:sz w:val="20"/>
                <w:szCs w:val="20"/>
              </w:rPr>
              <w:t xml:space="preserve">Customer Experience</w:t>
            </w:r>
          </w:p>
        </w:tc>
        <w:tc>
          <w:tcPr>
            <w:tcW w:type="dxa" w:w="2760"/>
            <w:tcBorders>
              <w:top w:val="single" w:color="BFBFBF" w:sz="1"/>
              <w:left w:val="single" w:color="BFBFBF" w:sz="1"/>
              <w:bottom w:val="single" w:color="BFBFBF" w:sz="1"/>
              <w:right w:val="single" w:color="BFBFBF" w:sz="1"/>
            </w:tcBorders>
            <w:shd w:fill="F2F6FB" w:val="clear"/>
            <w:tcMar>
              <w:top w:type="dxa" w:w="80"/>
              <w:left w:type="dxa" w:w="120"/>
              <w:bottom w:type="dxa" w:w="80"/>
              <w:right w:type="dxa" w:w="120"/>
            </w:tcMar>
            <w:vAlign w:val="top"/>
          </w:tcPr>
          <w:p>
            <w:r>
              <w:rPr>
                <w:sz w:val="20"/>
                <w:szCs w:val="20"/>
              </w:rPr>
              <w:t xml:space="preserve">Win on service, especially at claim</w:t>
            </w:r>
          </w:p>
        </w:tc>
        <w:tc>
          <w:tcPr>
            <w:tcW w:type="dxa" w:w="4300"/>
            <w:tcBorders>
              <w:top w:val="single" w:color="BFBFBF" w:sz="1"/>
              <w:left w:val="single" w:color="BFBFBF" w:sz="1"/>
              <w:bottom w:val="single" w:color="BFBFBF" w:sz="1"/>
              <w:right w:val="single" w:color="BFBFBF" w:sz="1"/>
            </w:tcBorders>
            <w:shd w:fill="F2F6FB" w:val="clear"/>
            <w:tcMar>
              <w:top w:type="dxa" w:w="80"/>
              <w:left w:type="dxa" w:w="120"/>
              <w:bottom w:type="dxa" w:w="80"/>
              <w:right w:type="dxa" w:w="120"/>
            </w:tcMar>
            <w:vAlign w:val="top"/>
          </w:tcPr>
          <w:p>
            <w:pPr>
              <w:spacing w:after="0" w:before="0"/>
            </w:pPr>
            <w:r>
              <w:rPr>
                <w:sz w:val="19"/>
                <w:szCs w:val="19"/>
              </w:rPr>
              <w:t xml:space="preserve">NPS</w:t>
            </w:r>
          </w:p>
          <w:p>
            <w:pPr>
              <w:spacing w:after="0" w:before="20"/>
            </w:pPr>
            <w:r>
              <w:rPr>
                <w:sz w:val="19"/>
                <w:szCs w:val="19"/>
              </w:rPr>
              <w:t xml:space="preserve">CSAT</w:t>
            </w:r>
          </w:p>
          <w:p>
            <w:pPr>
              <w:spacing w:after="0" w:before="20"/>
            </w:pPr>
            <w:r>
              <w:rPr>
                <w:sz w:val="19"/>
                <w:szCs w:val="19"/>
              </w:rPr>
              <w:t xml:space="preserve">Claims satisfaction</w:t>
            </w:r>
          </w:p>
          <w:p>
            <w:pPr>
              <w:spacing w:after="0" w:before="20"/>
            </w:pPr>
            <w:r>
              <w:rPr>
                <w:sz w:val="19"/>
                <w:szCs w:val="19"/>
              </w:rPr>
              <w:t xml:space="preserve">First Notice of Loss (FNOL) experience</w:t>
            </w:r>
          </w:p>
        </w:tc>
      </w:tr>
    </w:tbl>
    <w:p>
      <w:pPr>
        <w:pStyle w:val="Heading1"/>
        <w:spacing w:before="280"/>
      </w:pPr>
      <w:r>
        <w:t xml:space="preserve">Strategic Tensions to Balance</w:t>
      </w:r>
    </w:p>
    <w:p>
      <w:pPr>
        <w:spacing w:after="120"/>
      </w:pPr>
      <w:r>
        <w:rPr>
          <w:sz w:val="22"/>
          <w:szCs w:val="22"/>
        </w:rPr>
        <w:t xml:space="preserve">The combined ratio is the headline measure of underwriting health — below 100% means underwriting profit, above means reliance on investment income. Growth ambitions pull against underwriting discipline (loosening standards inflates GWP but degrades the loss ratio), and faster claims settlement pulls against leakage control. The art is profitable growth, not growth alone.</w:t>
      </w:r>
    </w:p>
    <w:p>
      <w:pPr>
        <w:pStyle w:val="Heading1"/>
        <w:spacing w:before="200"/>
      </w:pPr>
      <w:r>
        <w:t xml:space="preserve">Where Digital Strategy Fits</w:t>
      </w:r>
    </w:p>
    <w:p>
      <w:pPr>
        <w:spacing w:after="140"/>
      </w:pPr>
      <w:r>
        <w:rPr>
          <w:sz w:val="22"/>
          <w:szCs w:val="22"/>
        </w:rPr>
        <w:t xml:space="preserve">Digital reshapes the insurance value chain from quote to claim. It is the primary lever for reducing the expense ratio, improving the customer experience at moments of truth, and enabling new risk-based products.</w:t>
      </w:r>
    </w:p>
    <w:p>
      <w:pPr>
        <w:pStyle w:val="ListParagraph"/>
        <w:numPr>
          <w:ilvl w:val="0"/>
          <w:numId w:val="2"/>
        </w:numPr>
        <w:spacing w:after="80"/>
      </w:pPr>
      <w:r>
        <w:rPr>
          <w:b/>
          <w:bCs/>
          <w:color w:val="1F3864"/>
        </w:rPr>
        <w:t xml:space="preserve">Acquisition — </w:t>
      </w:r>
      <w:r>
        <w:t xml:space="preserve">digital quote-and-bind journeys raise conversion and lower distribution cost.</w:t>
      </w:r>
    </w:p>
    <w:p>
      <w:pPr>
        <w:pStyle w:val="ListParagraph"/>
        <w:numPr>
          <w:ilvl w:val="0"/>
          <w:numId w:val="2"/>
        </w:numPr>
        <w:spacing w:after="80"/>
      </w:pPr>
      <w:r>
        <w:rPr>
          <w:b/>
          <w:bCs/>
          <w:color w:val="1F3864"/>
        </w:rPr>
        <w:t xml:space="preserve">Underwriting — </w:t>
      </w:r>
      <w:r>
        <w:t xml:space="preserve">automated and data-driven underwriting improves speed and risk selection.</w:t>
      </w:r>
    </w:p>
    <w:p>
      <w:pPr>
        <w:pStyle w:val="ListParagraph"/>
        <w:numPr>
          <w:ilvl w:val="0"/>
          <w:numId w:val="2"/>
        </w:numPr>
        <w:spacing w:after="80"/>
      </w:pPr>
      <w:r>
        <w:rPr>
          <w:b/>
          <w:bCs/>
          <w:color w:val="1F3864"/>
        </w:rPr>
        <w:t xml:space="preserve">Claims — </w:t>
      </w:r>
      <w:r>
        <w:t xml:space="preserve">self-service FNOL and straight-through claims cut cycle time and LAE.</w:t>
      </w:r>
    </w:p>
    <w:p>
      <w:pPr>
        <w:pStyle w:val="ListParagraph"/>
        <w:numPr>
          <w:ilvl w:val="0"/>
          <w:numId w:val="2"/>
        </w:numPr>
        <w:spacing w:after="80"/>
      </w:pPr>
      <w:r>
        <w:rPr>
          <w:b/>
          <w:bCs/>
          <w:color w:val="1F3864"/>
        </w:rPr>
        <w:t xml:space="preserve">Pricing &amp; products — </w:t>
      </w:r>
      <w:r>
        <w:t xml:space="preserve">telematics and usage-based models enable more granular, competitive pricing.</w:t>
      </w:r>
    </w:p>
    <w:p>
      <w:pPr>
        <w:pStyle w:val="ListParagraph"/>
        <w:numPr>
          <w:ilvl w:val="0"/>
          <w:numId w:val="2"/>
        </w:numPr>
        <w:spacing w:after="80"/>
      </w:pPr>
      <w:r>
        <w:rPr>
          <w:b/>
          <w:bCs/>
          <w:color w:val="1F3864"/>
        </w:rPr>
        <w:t xml:space="preserve">Retention — </w:t>
      </w:r>
      <w:r>
        <w:t xml:space="preserve">digital servicing and proactive engagement lift persistency.</w:t>
      </w:r>
    </w:p>
    <w:p>
      <w:pPr>
        <w:pStyle w:val="Heading2"/>
        <w:spacing w:before="160"/>
      </w:pPr>
      <w:r>
        <w:t xml:space="preserve">Digital-Specific KPIs</w:t>
      </w:r>
    </w:p>
    <w:p>
      <w:pPr>
        <w:spacing w:after="80"/>
      </w:pPr>
      <w:r>
        <w:rPr>
          <w:sz w:val="22"/>
          <w:szCs w:val="22"/>
        </w:rPr>
        <w:t xml:space="preserve">Alongside the headline KPIs above, the digital transformation is typically tracked through: </w:t>
      </w:r>
      <w:r>
        <w:rPr>
          <w:sz w:val="22"/>
          <w:szCs w:val="22"/>
        </w:rPr>
        <w:t xml:space="preserve">Digital quote conversion rate; % of claims filed digitally; Automated / straight-through underwriting rate; Self-service adoption; Digital policy issuance rate; Expense ratio reduction from automation.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4"/>
      </w:pBdr>
      <w:jc w:val="right"/>
    </w:pPr>
    <w:r>
      <w:rPr>
        <w:color w:val="595959"/>
        <w:sz w:val="16"/>
        <w:szCs w:val="16"/>
      </w:rPr>
      <w:t xml:space="preserve">Insurance  |  Strategy Best Practices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3864"/>
      <w:sz w:val="26"/>
      <w:szCs w:val="26"/>
    </w:rPr>
  </w:style>
  <w:style w:type="paragraph" w:styleId="Heading2">
    <w:name w:val="Heading 2"/>
    <w:basedOn w:val="Normal"/>
    <w:next w:val="Normal"/>
    <w:qFormat/>
    <w:pPr>
      <w:spacing w:after="80" w:before="160"/>
      <w:outlineLvl w:val="1"/>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Insurance — Strategy Best Practices</dc:title>
  <dc:creator>Strategy Reference Library</dc:creator>
  <cp:lastModifiedBy>Un-named</cp:lastModifiedBy>
  <cp:revision>1</cp:revision>
  <dcterms:created xsi:type="dcterms:W3CDTF">2026-06-11T00:39:35.004Z</dcterms:created>
  <dcterms:modified xsi:type="dcterms:W3CDTF">2026-06-11T00:39:35.004Z</dcterms:modified>
</cp:coreProperties>
</file>

<file path=docProps/custom.xml><?xml version="1.0" encoding="utf-8"?>
<Properties xmlns="http://schemas.openxmlformats.org/officeDocument/2006/custom-properties" xmlns:vt="http://schemas.openxmlformats.org/officeDocument/2006/docPropsVTypes"/>
</file>