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Media &amp; Entertainment</w:t>
      </w:r>
    </w:p>
    <w:p>
      <w:pPr>
        <w:spacing w:after="40"/>
      </w:pPr>
      <w:r>
        <w:rPr>
          <w:color w:val="2E75B6"/>
          <w:sz w:val="26"/>
          <w:szCs w:val="26"/>
        </w:rPr>
        <w:t xml:space="preserve">Strategy Best Practices</w:t>
      </w:r>
    </w:p>
    <w:p>
      <w:pPr>
        <w:spacing w:after="60"/>
      </w:pPr>
      <w:r>
        <w:rPr>
          <w:i/>
          <w:iCs/>
          <w:color w:val="595959"/>
          <w:sz w:val="20"/>
          <w:szCs w:val="20"/>
        </w:rPr>
        <w:t xml:space="preserve">Business Objectives, Key Performance Indicators &amp; Digital Strategy</w:t>
      </w:r>
    </w:p>
    <w:p>
      <w:pPr>
        <w:pBdr>
          <w:bottom w:val="single" w:color="2E75B6" w:sz="18" w:space="1"/>
        </w:pBdr>
        <w:spacing w:after="180" w:before="60"/>
      </w:pPr>
      <w:r>
        <w:t xml:space="preserve"/>
      </w:r>
    </w:p>
    <w:p>
      <w:pPr>
        <w:spacing w:after="200"/>
      </w:pPr>
      <w:r>
        <w:rPr>
          <w:sz w:val="22"/>
          <w:szCs w:val="22"/>
        </w:rPr>
        <w:t xml:space="preserve">Media and entertainment businesses compete for audience attention and then monetize it through subscriptions, advertising, or both. Engagement is the leading indicator of retention and monetization, while content investment is the largest cost and the primary growth driver.</w:t>
      </w:r>
    </w:p>
    <w:p>
      <w:pPr>
        <w:pStyle w:val="Heading1"/>
      </w:pPr>
      <w:r>
        <w:t xml:space="preserve">Core Business Objectives &amp; KPIs</w:t>
      </w:r>
    </w:p>
    <w:p>
      <w:pPr>
        <w:spacing w:after="140"/>
      </w:pPr>
      <w:r>
        <w:rPr>
          <w:i/>
          <w:iCs/>
          <w:color w:val="595959"/>
          <w:sz w:val="21"/>
          <w:szCs w:val="21"/>
        </w:rPr>
        <w:t xml:space="preserve">The objectives below are the themes most organizations in this sector track. They are managed in balance with one another rather than maximized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60"/>
        <w:gridCol w:w="4300"/>
      </w:tblGrid>
      <w:tr>
        <w:trPr>
          <w:cantSplit/>
          <w:tblHeader/>
        </w:trPr>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Business Objective</w:t>
            </w:r>
          </w:p>
        </w:tc>
        <w:tc>
          <w:tcPr>
            <w:tcW w:type="dxa" w:w="2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Strategic Focus</w:t>
            </w:r>
          </w:p>
        </w:tc>
        <w:tc>
          <w:tcPr>
            <w:tcW w:type="dxa" w:w="4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Key Performance Indicators</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Subscriber / Audience Growth</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Grow reach and the subscriber base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Subscriber net adds</w:t>
            </w:r>
          </w:p>
          <w:p>
            <w:pPr>
              <w:spacing w:after="0" w:before="20"/>
            </w:pPr>
            <w:r>
              <w:rPr>
                <w:sz w:val="19"/>
                <w:szCs w:val="19"/>
              </w:rPr>
              <w:t xml:space="preserve">Total subscribers / MAU</w:t>
            </w:r>
          </w:p>
          <w:p>
            <w:pPr>
              <w:spacing w:after="0" w:before="20"/>
            </w:pPr>
            <w:r>
              <w:rPr>
                <w:sz w:val="19"/>
                <w:szCs w:val="19"/>
              </w:rPr>
              <w:t xml:space="preserve">Reach</w:t>
            </w:r>
          </w:p>
          <w:p>
            <w:pPr>
              <w:spacing w:after="0" w:before="20"/>
            </w:pPr>
            <w:r>
              <w:rPr>
                <w:sz w:val="19"/>
                <w:szCs w:val="19"/>
              </w:rPr>
              <w:t xml:space="preserve">Market share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Engagement</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Maximize attention and consumption</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Time spent / watch time</w:t>
            </w:r>
          </w:p>
          <w:p>
            <w:pPr>
              <w:spacing w:after="0" w:before="20"/>
            </w:pPr>
            <w:r>
              <w:rPr>
                <w:sz w:val="19"/>
                <w:szCs w:val="19"/>
              </w:rPr>
              <w:t xml:space="preserve">DAU/MAU ratio</w:t>
            </w:r>
          </w:p>
          <w:p>
            <w:pPr>
              <w:spacing w:after="0" w:before="20"/>
            </w:pPr>
            <w:r>
              <w:rPr>
                <w:sz w:val="19"/>
                <w:szCs w:val="19"/>
              </w:rPr>
              <w:t xml:space="preserve">Consumption per user</w:t>
            </w:r>
          </w:p>
          <w:p>
            <w:pPr>
              <w:spacing w:after="0" w:before="20"/>
            </w:pPr>
            <w:r>
              <w:rPr>
                <w:sz w:val="19"/>
                <w:szCs w:val="19"/>
              </w:rPr>
              <w:t xml:space="preserve">Session frequency</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Retention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Reduce churn and extend lifetime</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Churn rate</w:t>
            </w:r>
          </w:p>
          <w:p>
            <w:pPr>
              <w:spacing w:after="0" w:before="20"/>
            </w:pPr>
            <w:r>
              <w:rPr>
                <w:sz w:val="19"/>
                <w:szCs w:val="19"/>
              </w:rPr>
              <w:t xml:space="preserve">Retention / renewal rate</w:t>
            </w:r>
          </w:p>
          <w:p>
            <w:pPr>
              <w:spacing w:after="0" w:before="20"/>
            </w:pPr>
            <w:r>
              <w:rPr>
                <w:sz w:val="19"/>
                <w:szCs w:val="19"/>
              </w:rPr>
              <w:t xml:space="preserve">Subscriber lifetime</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Monetization &amp; Revenue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Grow revenue per user and in total</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ARPU</w:t>
            </w:r>
          </w:p>
          <w:p>
            <w:pPr>
              <w:spacing w:after="0" w:before="20"/>
            </w:pPr>
            <w:r>
              <w:rPr>
                <w:sz w:val="19"/>
                <w:szCs w:val="19"/>
              </w:rPr>
              <w:t xml:space="preserve">Subscription revenue</w:t>
            </w:r>
          </w:p>
          <w:p>
            <w:pPr>
              <w:spacing w:after="0" w:before="20"/>
            </w:pPr>
            <w:r>
              <w:rPr>
                <w:sz w:val="19"/>
                <w:szCs w:val="19"/>
              </w:rPr>
              <w:t xml:space="preserve">Advertising revenue</w:t>
            </w:r>
          </w:p>
          <w:p>
            <w:pPr>
              <w:spacing w:after="0" w:before="20"/>
            </w:pPr>
            <w:r>
              <w:rPr>
                <w:sz w:val="19"/>
                <w:szCs w:val="19"/>
              </w:rPr>
              <w:t xml:space="preserve">Total revenue growth</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Content ROI &amp; Effectiveness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Spend content dollars efficiently</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Content cost efficiency</w:t>
            </w:r>
          </w:p>
          <w:p>
            <w:pPr>
              <w:spacing w:after="0" w:before="20"/>
            </w:pPr>
            <w:r>
              <w:rPr>
                <w:sz w:val="19"/>
                <w:szCs w:val="19"/>
              </w:rPr>
              <w:t xml:space="preserve">Engagement per dollar</w:t>
            </w:r>
          </w:p>
          <w:p>
            <w:pPr>
              <w:spacing w:after="0" w:before="20"/>
            </w:pPr>
            <w:r>
              <w:rPr>
                <w:sz w:val="19"/>
                <w:szCs w:val="19"/>
              </w:rPr>
              <w:t xml:space="preserve">Hit rate</w:t>
            </w:r>
          </w:p>
          <w:p>
            <w:pPr>
              <w:spacing w:after="0" w:before="20"/>
            </w:pPr>
            <w:r>
              <w:rPr>
                <w:sz w:val="19"/>
                <w:szCs w:val="19"/>
              </w:rPr>
              <w:t xml:space="preserve">% engagement from originals</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Advertising Effectiveness</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Maximize ad yield (ad-supported tiers)</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Ad revenue</w:t>
            </w:r>
          </w:p>
          <w:p>
            <w:pPr>
              <w:spacing w:after="0" w:before="20"/>
            </w:pPr>
            <w:r>
              <w:rPr>
                <w:sz w:val="19"/>
                <w:szCs w:val="19"/>
              </w:rPr>
              <w:t xml:space="preserve">CPM</w:t>
            </w:r>
          </w:p>
          <w:p>
            <w:pPr>
              <w:spacing w:after="0" w:before="20"/>
            </w:pPr>
            <w:r>
              <w:rPr>
                <w:sz w:val="19"/>
                <w:szCs w:val="19"/>
              </w:rPr>
              <w:t xml:space="preserve">Fill rate</w:t>
            </w:r>
          </w:p>
          <w:p>
            <w:pPr>
              <w:spacing w:after="0" w:before="20"/>
            </w:pPr>
            <w:r>
              <w:rPr>
                <w:sz w:val="19"/>
                <w:szCs w:val="19"/>
              </w:rPr>
              <w:t xml:space="preserve">Viewability</w:t>
            </w:r>
          </w:p>
          <w:p>
            <w:pPr>
              <w:spacing w:after="0" w:before="20"/>
            </w:pPr>
            <w:r>
              <w:rPr>
                <w:sz w:val="19"/>
                <w:szCs w:val="19"/>
              </w:rPr>
              <w:t xml:space="preserve">Ad-load tolerance</w:t>
            </w:r>
          </w:p>
        </w:tc>
      </w:tr>
      <w:tr>
        <w:trPr>
          <w:cantSplit/>
        </w:trP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b/>
                <w:bCs/>
                <w:color w:val="1F3864"/>
                <w:sz w:val="20"/>
                <w:szCs w:val="20"/>
              </w:rPr>
              <w:t xml:space="preserve">Profitability</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sz w:val="20"/>
                <w:szCs w:val="20"/>
              </w:rPr>
              <w:t xml:space="preserve">Convert scale into margin</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pPr>
              <w:spacing w:after="0" w:before="0"/>
            </w:pPr>
            <w:r>
              <w:rPr>
                <w:sz w:val="19"/>
                <w:szCs w:val="19"/>
              </w:rPr>
              <w:t xml:space="preserve">Contribution margin</w:t>
            </w:r>
          </w:p>
          <w:p>
            <w:pPr>
              <w:spacing w:after="0" w:before="20"/>
            </w:pPr>
            <w:r>
              <w:rPr>
                <w:sz w:val="19"/>
                <w:szCs w:val="19"/>
              </w:rPr>
              <w:t xml:space="preserve">Content amortization efficiency</w:t>
            </w:r>
          </w:p>
          <w:p>
            <w:pPr>
              <w:spacing w:after="0" w:before="20"/>
            </w:pPr>
            <w:r>
              <w:rPr>
                <w:sz w:val="19"/>
                <w:szCs w:val="19"/>
              </w:rPr>
              <w:t xml:space="preserve">Operating margin</w:t>
            </w:r>
          </w:p>
        </w:tc>
      </w:tr>
      <w:tr>
        <w:trPr>
          <w:cantSplit/>
        </w:trPr>
        <w:tc>
          <w:tcPr>
            <w:tcW w:type="dxa" w:w="2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b/>
                <w:bCs/>
                <w:color w:val="1F3864"/>
                <w:sz w:val="20"/>
                <w:szCs w:val="20"/>
              </w:rPr>
              <w:t xml:space="preserve">Brand &amp; Experience</w:t>
            </w:r>
          </w:p>
        </w:tc>
        <w:tc>
          <w:tcPr>
            <w:tcW w:type="dxa" w:w="276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r>
              <w:rPr>
                <w:sz w:val="20"/>
                <w:szCs w:val="20"/>
              </w:rPr>
              <w:t xml:space="preserve">Strengthen affinity and discovery</w:t>
            </w:r>
          </w:p>
        </w:tc>
        <w:tc>
          <w:tcPr>
            <w:tcW w:type="dxa" w:w="4300"/>
            <w:tcBorders>
              <w:top w:val="single" w:color="BFBFBF" w:sz="1"/>
              <w:left w:val="single" w:color="BFBFBF" w:sz="1"/>
              <w:bottom w:val="single" w:color="BFBFBF" w:sz="1"/>
              <w:right w:val="single" w:color="BFBFBF" w:sz="1"/>
            </w:tcBorders>
            <w:shd w:fill="F2F6FB" w:val="clear"/>
            <w:tcMar>
              <w:top w:type="dxa" w:w="80"/>
              <w:left w:type="dxa" w:w="120"/>
              <w:bottom w:type="dxa" w:w="80"/>
              <w:right w:type="dxa" w:w="120"/>
            </w:tcMar>
            <w:vAlign w:val="top"/>
          </w:tcPr>
          <w:p>
            <w:pPr>
              <w:spacing w:after="0" w:before="0"/>
            </w:pPr>
            <w:r>
              <w:rPr>
                <w:sz w:val="19"/>
                <w:szCs w:val="19"/>
              </w:rPr>
              <w:t xml:space="preserve">NPS</w:t>
            </w:r>
          </w:p>
          <w:p>
            <w:pPr>
              <w:spacing w:after="0" w:before="20"/>
            </w:pPr>
            <w:r>
              <w:rPr>
                <w:sz w:val="19"/>
                <w:szCs w:val="19"/>
              </w:rPr>
              <w:t xml:space="preserve">Satisfaction</w:t>
            </w:r>
          </w:p>
          <w:p>
            <w:pPr>
              <w:spacing w:after="0" w:before="20"/>
            </w:pPr>
            <w:r>
              <w:rPr>
                <w:sz w:val="19"/>
                <w:szCs w:val="19"/>
              </w:rPr>
              <w:t xml:space="preserve">Recommendation relevance</w:t>
            </w:r>
          </w:p>
        </w:tc>
      </w:tr>
    </w:tbl>
    <w:p>
      <w:pPr>
        <w:pStyle w:val="Heading1"/>
        <w:spacing w:before="280"/>
      </w:pPr>
      <w:r>
        <w:t xml:space="preserve">Strategic Tensions to Balance</w:t>
      </w:r>
    </w:p>
    <w:p>
      <w:pPr>
        <w:spacing w:after="120"/>
      </w:pPr>
      <w:r>
        <w:rPr>
          <w:sz w:val="22"/>
          <w:szCs w:val="22"/>
        </w:rPr>
        <w:t xml:space="preserve">Content spend is the core tension: more investment drives engagement and growth but pressures margin, and hit-driven economics make returns uncertain. Subscription and advertising models pull in different directions on ad load and experience. Engagement is the connective metric — it predicts retention, which underpins both subscription and ad revenue — so engagement-per-content-dollar is the discipline that ties strategy together.</w:t>
      </w:r>
    </w:p>
    <w:p>
      <w:pPr>
        <w:pStyle w:val="Heading1"/>
        <w:spacing w:before="200"/>
      </w:pPr>
      <w:r>
        <w:t xml:space="preserve">Where Digital Strategy Fits</w:t>
      </w:r>
    </w:p>
    <w:p>
      <w:pPr>
        <w:spacing w:after="140"/>
      </w:pPr>
      <w:r>
        <w:rPr>
          <w:sz w:val="22"/>
          <w:szCs w:val="22"/>
        </w:rPr>
        <w:t xml:space="preserve">Digital platforms are the distribution, data and monetization engine for modern media. Personalization and data-driven decisions determine which content gets made, watched, retained and monetized.</w:t>
      </w:r>
    </w:p>
    <w:p>
      <w:pPr>
        <w:pStyle w:val="ListParagraph"/>
        <w:numPr>
          <w:ilvl w:val="0"/>
          <w:numId w:val="2"/>
        </w:numPr>
        <w:spacing w:after="80"/>
      </w:pPr>
      <w:r>
        <w:rPr>
          <w:b/>
          <w:bCs/>
          <w:color w:val="1F3864"/>
        </w:rPr>
        <w:t xml:space="preserve">Discovery — </w:t>
      </w:r>
      <w:r>
        <w:t xml:space="preserve">recommendation engines lift engagement and reduce churn.</w:t>
      </w:r>
    </w:p>
    <w:p>
      <w:pPr>
        <w:pStyle w:val="ListParagraph"/>
        <w:numPr>
          <w:ilvl w:val="0"/>
          <w:numId w:val="2"/>
        </w:numPr>
        <w:spacing w:after="80"/>
      </w:pPr>
      <w:r>
        <w:rPr>
          <w:b/>
          <w:bCs/>
          <w:color w:val="1F3864"/>
        </w:rPr>
        <w:t xml:space="preserve">Distribution — </w:t>
      </w:r>
      <w:r>
        <w:t xml:space="preserve">direct-to-consumer platforms own the audience relationship and its data.</w:t>
      </w:r>
    </w:p>
    <w:p>
      <w:pPr>
        <w:pStyle w:val="ListParagraph"/>
        <w:numPr>
          <w:ilvl w:val="0"/>
          <w:numId w:val="2"/>
        </w:numPr>
        <w:spacing w:after="80"/>
      </w:pPr>
      <w:r>
        <w:rPr>
          <w:b/>
          <w:bCs/>
          <w:color w:val="1F3864"/>
        </w:rPr>
        <w:t xml:space="preserve">Content decisions — </w:t>
      </w:r>
      <w:r>
        <w:t xml:space="preserve">viewing data informs greenlighting and content-ROI discipline.</w:t>
      </w:r>
    </w:p>
    <w:p>
      <w:pPr>
        <w:pStyle w:val="ListParagraph"/>
        <w:numPr>
          <w:ilvl w:val="0"/>
          <w:numId w:val="2"/>
        </w:numPr>
        <w:spacing w:after="80"/>
      </w:pPr>
      <w:r>
        <w:rPr>
          <w:b/>
          <w:bCs/>
          <w:color w:val="1F3864"/>
        </w:rPr>
        <w:t xml:space="preserve">Monetization — </w:t>
      </w:r>
      <w:r>
        <w:t xml:space="preserve">programmatic and addressable advertising raise digital ad yield.</w:t>
      </w:r>
    </w:p>
    <w:p>
      <w:pPr>
        <w:pStyle w:val="ListParagraph"/>
        <w:numPr>
          <w:ilvl w:val="0"/>
          <w:numId w:val="2"/>
        </w:numPr>
        <w:spacing w:after="80"/>
      </w:pPr>
      <w:r>
        <w:rPr>
          <w:b/>
          <w:bCs/>
          <w:color w:val="1F3864"/>
        </w:rPr>
        <w:t xml:space="preserve">Experience — </w:t>
      </w:r>
      <w:r>
        <w:t xml:space="preserve">streaming quality and personalization improve satisfaction and retention.</w:t>
      </w:r>
    </w:p>
    <w:p>
      <w:pPr>
        <w:pStyle w:val="Heading2"/>
        <w:spacing w:before="160"/>
      </w:pPr>
      <w:r>
        <w:t xml:space="preserve">Digital-Specific KPIs</w:t>
      </w:r>
    </w:p>
    <w:p>
      <w:pPr>
        <w:spacing w:after="80"/>
      </w:pPr>
      <w:r>
        <w:rPr>
          <w:sz w:val="22"/>
          <w:szCs w:val="22"/>
        </w:rPr>
        <w:t xml:space="preserve">Alongside the headline KPIs above, the digital transformation is typically tracked through: </w:t>
      </w:r>
      <w:r>
        <w:rPr>
          <w:sz w:val="22"/>
          <w:szCs w:val="22"/>
        </w:rPr>
        <w:t xml:space="preserve">Recommendation-driven engagement %; Personalization lift; Cross-platform reach; Digital ad yield; Streaming quality-of-experience.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Media &amp; Entertainment  |  Strategy Best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&amp; Entertainment — Strategy Best Practices</dc:title>
  <dc:creator>Strategy Reference Library</dc:creator>
  <cp:lastModifiedBy>Un-named</cp:lastModifiedBy>
  <cp:revision>1</cp:revision>
  <dcterms:created xsi:type="dcterms:W3CDTF">2026-06-11T00:39:35.281Z</dcterms:created>
  <dcterms:modified xsi:type="dcterms:W3CDTF">2026-06-11T00:39:35.281Z</dcterms:modified>
</cp:coreProperties>
</file>

<file path=docProps/custom.xml><?xml version="1.0" encoding="utf-8"?>
<Properties xmlns="http://schemas.openxmlformats.org/officeDocument/2006/custom-properties" xmlns:vt="http://schemas.openxmlformats.org/officeDocument/2006/docPropsVTypes"/>
</file>