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Retail Banking</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Retail banks compete on the strength of primary customer relationships, the cost and stability of their funding base, and the quality of their loan book. The objectives below represent the core themes most institutions track, balanced against one another rather than maximized individually.</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Profitability &amp; Financial Performance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Generate sustainable returns and efficient earnings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Net Interest Margin (NIM)</w:t>
            </w:r>
          </w:p>
          <w:p>
            <w:pPr>
              <w:spacing w:after="0" w:before="20"/>
            </w:pPr>
            <w:r>
              <w:rPr>
                <w:sz w:val="19"/>
                <w:szCs w:val="19"/>
              </w:rPr>
              <w:t xml:space="preserve">Return on Equity (ROE)</w:t>
            </w:r>
          </w:p>
          <w:p>
            <w:pPr>
              <w:spacing w:after="0" w:before="20"/>
            </w:pPr>
            <w:r>
              <w:rPr>
                <w:sz w:val="19"/>
                <w:szCs w:val="19"/>
              </w:rPr>
              <w:t xml:space="preserve">Return on Assets (ROA)</w:t>
            </w:r>
          </w:p>
          <w:p>
            <w:pPr>
              <w:spacing w:after="0" w:before="20"/>
            </w:pPr>
            <w:r>
              <w:rPr>
                <w:sz w:val="19"/>
                <w:szCs w:val="19"/>
              </w:rPr>
              <w:t xml:space="preserve">Cost-to-Income Ratio</w:t>
            </w:r>
          </w:p>
          <w:p>
            <w:pPr>
              <w:spacing w:after="0" w:before="20"/>
            </w:pPr>
            <w:r>
              <w:rPr>
                <w:sz w:val="19"/>
                <w:szCs w:val="19"/>
              </w:rPr>
              <w:t xml:space="preserve">Revenue growth</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Customer Acquisition &amp; Growth</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Grow the customer base and market share</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New accounts opened</w:t>
            </w:r>
          </w:p>
          <w:p>
            <w:pPr>
              <w:spacing w:after="0" w:before="20"/>
            </w:pPr>
            <w:r>
              <w:rPr>
                <w:sz w:val="19"/>
                <w:szCs w:val="19"/>
              </w:rPr>
              <w:t xml:space="preserve">Customer Acquisition Cost (CAC)</w:t>
            </w:r>
          </w:p>
          <w:p>
            <w:pPr>
              <w:spacing w:after="0" w:before="20"/>
            </w:pPr>
            <w:r>
              <w:rPr>
                <w:sz w:val="19"/>
                <w:szCs w:val="19"/>
              </w:rPr>
              <w:t xml:space="preserve">Customer growth rate</w:t>
            </w:r>
          </w:p>
          <w:p>
            <w:pPr>
              <w:spacing w:after="0" w:before="20"/>
            </w:pPr>
            <w:r>
              <w:rPr>
                <w:sz w:val="19"/>
                <w:szCs w:val="19"/>
              </w:rPr>
              <w:t xml:space="preserve">Market share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Customer Retention &amp; Loyalty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Keep and deepen primary relationships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Churn / attrition rate</w:t>
            </w:r>
          </w:p>
          <w:p>
            <w:pPr>
              <w:spacing w:after="0" w:before="20"/>
            </w:pPr>
            <w:r>
              <w:rPr>
                <w:sz w:val="19"/>
                <w:szCs w:val="19"/>
              </w:rPr>
              <w:t xml:space="preserve">Net Promoter Score (NPS)</w:t>
            </w:r>
          </w:p>
          <w:p>
            <w:pPr>
              <w:spacing w:after="0" w:before="20"/>
            </w:pPr>
            <w:r>
              <w:rPr>
                <w:sz w:val="19"/>
                <w:szCs w:val="19"/>
              </w:rPr>
              <w:t xml:space="preserve">Customer Lifetime Value (CLV)</w:t>
            </w:r>
          </w:p>
          <w:p>
            <w:pPr>
              <w:spacing w:after="0" w:before="20"/>
            </w:pPr>
            <w:r>
              <w:rPr>
                <w:sz w:val="19"/>
                <w:szCs w:val="19"/>
              </w:rPr>
              <w:t xml:space="preserve">Retention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Deposit &amp; Funding Growth</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Secure low-cost, stable funding</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Deposit growth</w:t>
            </w:r>
          </w:p>
          <w:p>
            <w:pPr>
              <w:spacing w:after="0" w:before="20"/>
            </w:pPr>
            <w:r>
              <w:rPr>
                <w:sz w:val="19"/>
                <w:szCs w:val="19"/>
              </w:rPr>
              <w:t xml:space="preserve">CASA ratio</w:t>
            </w:r>
          </w:p>
          <w:p>
            <w:pPr>
              <w:spacing w:after="0" w:before="20"/>
            </w:pPr>
            <w:r>
              <w:rPr>
                <w:sz w:val="19"/>
                <w:szCs w:val="19"/>
              </w:rPr>
              <w:t xml:space="preserve">Loan-to-deposit ratio</w:t>
            </w:r>
          </w:p>
          <w:p>
            <w:pPr>
              <w:spacing w:after="0" w:before="20"/>
            </w:pPr>
            <w:r>
              <w:rPr>
                <w:sz w:val="19"/>
                <w:szCs w:val="19"/>
              </w:rPr>
              <w:t xml:space="preserve">Cost of funds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Lending Growth &amp; Credit Quality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Expand the loan book within risk appetite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Loan book growth</w:t>
            </w:r>
          </w:p>
          <w:p>
            <w:pPr>
              <w:spacing w:after="0" w:before="20"/>
            </w:pPr>
            <w:r>
              <w:rPr>
                <w:sz w:val="19"/>
                <w:szCs w:val="19"/>
              </w:rPr>
              <w:t xml:space="preserve">Non-Performing Loan (NPL) ratio</w:t>
            </w:r>
          </w:p>
          <w:p>
            <w:pPr>
              <w:spacing w:after="0" w:before="20"/>
            </w:pPr>
            <w:r>
              <w:rPr>
                <w:sz w:val="19"/>
                <w:szCs w:val="19"/>
              </w:rPr>
              <w:t xml:space="preserve">Provision coverage ratio</w:t>
            </w:r>
          </w:p>
          <w:p>
            <w:pPr>
              <w:spacing w:after="0" w:before="20"/>
            </w:pPr>
            <w:r>
              <w:rPr>
                <w:sz w:val="19"/>
                <w:szCs w:val="19"/>
              </w:rPr>
              <w:t xml:space="preserve">Charge-off / credit loss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Cross-Sell &amp; Share of Wallet</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Increase value per existing customer</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Products per customer</w:t>
            </w:r>
          </w:p>
          <w:p>
            <w:pPr>
              <w:spacing w:after="0" w:before="20"/>
            </w:pPr>
            <w:r>
              <w:rPr>
                <w:sz w:val="19"/>
                <w:szCs w:val="19"/>
              </w:rPr>
              <w:t xml:space="preserve">Revenue per customer</w:t>
            </w:r>
          </w:p>
          <w:p>
            <w:pPr>
              <w:spacing w:after="0" w:before="20"/>
            </w:pPr>
            <w:r>
              <w:rPr>
                <w:sz w:val="19"/>
                <w:szCs w:val="19"/>
              </w:rPr>
              <w:t xml:space="preserve">Share of wallet</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Operational Efficiency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Lower cost-to-serve and improve productivity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Cost-to-Income Ratio</w:t>
            </w:r>
          </w:p>
          <w:p>
            <w:pPr>
              <w:spacing w:after="0" w:before="20"/>
            </w:pPr>
            <w:r>
              <w:rPr>
                <w:sz w:val="19"/>
                <w:szCs w:val="19"/>
              </w:rPr>
              <w:t xml:space="preserve">Cost per transaction</w:t>
            </w:r>
          </w:p>
          <w:p>
            <w:pPr>
              <w:spacing w:after="0" w:before="20"/>
            </w:pPr>
            <w:r>
              <w:rPr>
                <w:sz w:val="19"/>
                <w:szCs w:val="19"/>
              </w:rPr>
              <w:t xml:space="preserve">Straight-through processing rate</w:t>
            </w:r>
          </w:p>
          <w:p>
            <w:pPr>
              <w:spacing w:after="0" w:before="20"/>
            </w:pPr>
            <w:r>
              <w:rPr>
                <w:sz w:val="19"/>
                <w:szCs w:val="19"/>
              </w:rPr>
              <w:t xml:space="preserve">Automation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Risk &amp; Regulatory Compliance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Stay solvent, liquid and compliant</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Capital adequacy (CET1 / CAR)</w:t>
            </w:r>
          </w:p>
          <w:p>
            <w:pPr>
              <w:spacing w:after="0" w:before="20"/>
            </w:pPr>
            <w:r>
              <w:rPr>
                <w:sz w:val="19"/>
                <w:szCs w:val="19"/>
              </w:rPr>
              <w:t xml:space="preserve">Liquidity Coverage Ratio (LCR)</w:t>
            </w:r>
          </w:p>
          <w:p>
            <w:pPr>
              <w:spacing w:after="0" w:before="20"/>
            </w:pPr>
            <w:r>
              <w:rPr>
                <w:sz w:val="19"/>
                <w:szCs w:val="19"/>
              </w:rPr>
              <w:t xml:space="preserve">Fraud loss rate</w:t>
            </w:r>
          </w:p>
          <w:p>
            <w:pPr>
              <w:spacing w:after="0" w:before="20"/>
            </w:pPr>
            <w:r>
              <w:rPr>
                <w:sz w:val="19"/>
                <w:szCs w:val="19"/>
              </w:rPr>
              <w:t xml:space="preserve">Audit / compliance findings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Customer Experience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Differentiate on service quality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CSAT</w:t>
            </w:r>
          </w:p>
          <w:p>
            <w:pPr>
              <w:spacing w:after="0" w:before="20"/>
            </w:pPr>
            <w:r>
              <w:rPr>
                <w:sz w:val="19"/>
                <w:szCs w:val="19"/>
              </w:rPr>
              <w:t xml:space="preserve">Customer Effort Score (CES)</w:t>
            </w:r>
          </w:p>
          <w:p>
            <w:pPr>
              <w:spacing w:after="0" w:before="20"/>
            </w:pPr>
            <w:r>
              <w:rPr>
                <w:sz w:val="19"/>
                <w:szCs w:val="19"/>
              </w:rPr>
              <w:t xml:space="preserve">Complaint resolution time</w:t>
            </w:r>
          </w:p>
          <w:p>
            <w:pPr>
              <w:spacing w:after="0" w:before="20"/>
            </w:pPr>
            <w:r>
              <w:rPr>
                <w:sz w:val="19"/>
                <w:szCs w:val="19"/>
              </w:rPr>
              <w:t xml:space="preserve">First-contact resolution</w:t>
            </w:r>
          </w:p>
        </w:tc>
      </w:tr>
    </w:tbl>
    <w:p>
      <w:pPr>
        <w:pStyle w:val="Heading1"/>
        <w:spacing w:before="280"/>
      </w:pPr>
      <w:r>
        <w:t xml:space="preserve">Strategic Tensions to Balance</w:t>
      </w:r>
    </w:p>
    <w:p>
      <w:pPr>
        <w:spacing w:after="120"/>
      </w:pPr>
      <w:r>
        <w:rPr>
          <w:sz w:val="22"/>
          <w:szCs w:val="22"/>
        </w:rPr>
        <w:t xml:space="preserve">Several objectives are in deliberate tension. Aggressive lending growth pulls against credit quality; deposit gathering pulls against cost of funds; growth investment pulls against the cost-to-income ratio. The cost-to-income ratio is the metric executives watch most closely because it links revenue generation directly to operating discipline. Good management balances these trade-offs rather than maximizing any single measure.</w:t>
      </w:r>
    </w:p>
    <w:p>
      <w:pPr>
        <w:pStyle w:val="Heading1"/>
        <w:spacing w:before="200"/>
      </w:pPr>
      <w:r>
        <w:t xml:space="preserve">Where Digital Strategy Fits</w:t>
      </w:r>
    </w:p>
    <w:p>
      <w:pPr>
        <w:spacing w:after="140"/>
      </w:pPr>
      <w:r>
        <w:rPr>
          <w:sz w:val="22"/>
          <w:szCs w:val="22"/>
        </w:rPr>
        <w:t xml:space="preserve">Digital is rarely a standalone objective in retail banking. It is a cross-cutting enabler that improves performance against nearly every objective above. Treating “go digital” as the goal is a common strategic error; the goal is what digital allows the bank to achieve.</w:t>
      </w:r>
    </w:p>
    <w:p>
      <w:pPr>
        <w:pStyle w:val="ListParagraph"/>
        <w:numPr>
          <w:ilvl w:val="0"/>
          <w:numId w:val="2"/>
        </w:numPr>
        <w:spacing w:after="80"/>
      </w:pPr>
      <w:r>
        <w:rPr>
          <w:b/>
          <w:bCs/>
          <w:color w:val="1F3864"/>
        </w:rPr>
        <w:t xml:space="preserve">Acquisition — </w:t>
      </w:r>
      <w:r>
        <w:t xml:space="preserve">digital onboarding lowers CAC and widens reach beyond the branch footprint.</w:t>
      </w:r>
    </w:p>
    <w:p>
      <w:pPr>
        <w:pStyle w:val="ListParagraph"/>
        <w:numPr>
          <w:ilvl w:val="0"/>
          <w:numId w:val="2"/>
        </w:numPr>
        <w:spacing w:after="80"/>
      </w:pPr>
      <w:r>
        <w:rPr>
          <w:b/>
          <w:bCs/>
          <w:color w:val="1F3864"/>
        </w:rPr>
        <w:t xml:space="preserve">Retention &amp; experience — </w:t>
      </w:r>
      <w:r>
        <w:t xml:space="preserve">a strong mobile app and seamless UX directly move NPS, CSAT and churn.</w:t>
      </w:r>
    </w:p>
    <w:p>
      <w:pPr>
        <w:pStyle w:val="ListParagraph"/>
        <w:numPr>
          <w:ilvl w:val="0"/>
          <w:numId w:val="2"/>
        </w:numPr>
        <w:spacing w:after="80"/>
      </w:pPr>
      <w:r>
        <w:rPr>
          <w:b/>
          <w:bCs/>
          <w:color w:val="1F3864"/>
        </w:rPr>
        <w:t xml:space="preserve">Efficiency — </w:t>
      </w:r>
      <w:r>
        <w:t xml:space="preserve">channel migration and automation cut cost-to-serve and cost per transaction — the single biggest lever on the cost-to-income ratio.</w:t>
      </w:r>
    </w:p>
    <w:p>
      <w:pPr>
        <w:pStyle w:val="ListParagraph"/>
        <w:numPr>
          <w:ilvl w:val="0"/>
          <w:numId w:val="2"/>
        </w:numPr>
        <w:spacing w:after="80"/>
      </w:pPr>
      <w:r>
        <w:rPr>
          <w:b/>
          <w:bCs/>
          <w:color w:val="1F3864"/>
        </w:rPr>
        <w:t xml:space="preserve">Cross-sell — </w:t>
      </w:r>
      <w:r>
        <w:t xml:space="preserve">data and personalization engines raise products-per-customer and share of wallet.</w:t>
      </w:r>
    </w:p>
    <w:p>
      <w:pPr>
        <w:pStyle w:val="ListParagraph"/>
        <w:numPr>
          <w:ilvl w:val="0"/>
          <w:numId w:val="2"/>
        </w:numPr>
        <w:spacing w:after="80"/>
      </w:pPr>
      <w:r>
        <w:rPr>
          <w:b/>
          <w:bCs/>
          <w:color w:val="1F3864"/>
        </w:rPr>
        <w:t xml:space="preserve">Risk — </w:t>
      </w:r>
      <w:r>
        <w:t xml:space="preserve">real-time monitoring and digital fraud detection reduce loss rates.</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Digital adoption rate; % of transactions via digital channels; Mobile app MAU / DAU; Digital sales penetration; Digital onboarding completion rate; Cost-to-serve reduction from channel shift; App store rating.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Retail Banking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Banking — Strategy Best Practices</dc:title>
  <dc:creator>Strategy Reference Library</dc:creator>
  <cp:lastModifiedBy>Un-named</cp:lastModifiedBy>
  <cp:revision>1</cp:revision>
  <dcterms:created xsi:type="dcterms:W3CDTF">2026-06-11T00:39:34.880Z</dcterms:created>
  <dcterms:modified xsi:type="dcterms:W3CDTF">2026-06-11T00:39:34.880Z</dcterms:modified>
</cp:coreProperties>
</file>

<file path=docProps/custom.xml><?xml version="1.0" encoding="utf-8"?>
<Properties xmlns="http://schemas.openxmlformats.org/officeDocument/2006/custom-properties" xmlns:vt="http://schemas.openxmlformats.org/officeDocument/2006/docPropsVTypes"/>
</file>