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Travel &amp; Hospitality</w:t>
      </w:r>
    </w:p>
    <w:p>
      <w:pPr>
        <w:spacing w:after="40"/>
      </w:pPr>
      <w:r>
        <w:rPr>
          <w:color w:val="2E75B6"/>
          <w:sz w:val="26"/>
          <w:szCs w:val="26"/>
        </w:rPr>
        <w:t xml:space="preserve">Strategy Best Practices</w:t>
      </w:r>
    </w:p>
    <w:p>
      <w:pPr>
        <w:spacing w:after="60"/>
      </w:pPr>
      <w:r>
        <w:rPr>
          <w:i/>
          <w:iCs/>
          <w:color w:val="595959"/>
          <w:sz w:val="20"/>
          <w:szCs w:val="20"/>
        </w:rPr>
        <w:t xml:space="preserve">Business Objectives, Key Performance Indicators &amp; Digital Strategy</w:t>
      </w:r>
    </w:p>
    <w:p>
      <w:pPr>
        <w:pBdr>
          <w:bottom w:val="single" w:color="2E75B6" w:sz="18" w:space="1"/>
        </w:pBdr>
        <w:spacing w:after="180" w:before="60"/>
      </w:pPr>
      <w:r>
        <w:t xml:space="preserve"/>
      </w:r>
    </w:p>
    <w:p>
      <w:pPr>
        <w:spacing w:after="200"/>
      </w:pPr>
      <w:r>
        <w:rPr>
          <w:sz w:val="22"/>
          <w:szCs w:val="22"/>
        </w:rPr>
        <w:t xml:space="preserve">Travel and hospitality businesses manage perishable capacity, so success depends on filling inventory at the right price, owning the customer relationship through loyalty, and earning ancillary revenue. Yield and distribution mix are as important as occupancy itself.</w:t>
      </w:r>
    </w:p>
    <w:p>
      <w:pPr>
        <w:pStyle w:val="Heading1"/>
      </w:pPr>
      <w:r>
        <w:t xml:space="preserve">Core Business Objectives &amp; KPIs</w:t>
      </w:r>
    </w:p>
    <w:p>
      <w:pPr>
        <w:spacing w:after="140"/>
      </w:pPr>
      <w:r>
        <w:rPr>
          <w:i/>
          <w:iCs/>
          <w:color w:val="595959"/>
          <w:sz w:val="21"/>
          <w:szCs w:val="21"/>
        </w:rPr>
        <w:t xml:space="preserve">The objectives below are the themes most organizations in this sector track. They are managed in balance with one another rather than maximized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60"/>
        <w:gridCol w:w="4300"/>
      </w:tblGrid>
      <w:tr>
        <w:trPr>
          <w:cantSplit/>
          <w:tblHeader/>
        </w:trPr>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Business Objective</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Strategic Focus</w:t>
            </w:r>
          </w:p>
        </w:tc>
        <w:tc>
          <w:tcPr>
            <w:tcW w:type="dxa" w:w="4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Key Performance Indicators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Revenue Growth &amp; Yield</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Optimize price and demand for perishable inventory</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RevPAR</w:t>
            </w:r>
          </w:p>
          <w:p>
            <w:pPr>
              <w:spacing w:after="0" w:before="20"/>
            </w:pPr>
            <w:r>
              <w:rPr>
                <w:sz w:val="19"/>
                <w:szCs w:val="19"/>
              </w:rPr>
              <w:t xml:space="preserve">Average Daily Rate (ADR)</w:t>
            </w:r>
          </w:p>
          <w:p>
            <w:pPr>
              <w:spacing w:after="0" w:before="20"/>
            </w:pPr>
            <w:r>
              <w:rPr>
                <w:sz w:val="19"/>
                <w:szCs w:val="19"/>
              </w:rPr>
              <w:t xml:space="preserve">Occupancy rate</w:t>
            </w:r>
          </w:p>
          <w:p>
            <w:pPr>
              <w:spacing w:after="0" w:before="20"/>
            </w:pPr>
            <w:r>
              <w:rPr>
                <w:sz w:val="19"/>
                <w:szCs w:val="19"/>
              </w:rPr>
              <w:t xml:space="preserve">Load factor (air)</w:t>
            </w:r>
          </w:p>
          <w:p>
            <w:pPr>
              <w:spacing w:after="0" w:before="20"/>
            </w:pPr>
            <w:r>
              <w:rPr>
                <w:sz w:val="19"/>
                <w:szCs w:val="19"/>
              </w:rPr>
              <w:t xml:space="preserve">Total revenue growth</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Demand &amp; Bookings Growth</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Drive and convert demand</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Booking volume</w:t>
            </w:r>
          </w:p>
          <w:p>
            <w:pPr>
              <w:spacing w:after="0" w:before="20"/>
            </w:pPr>
            <w:r>
              <w:rPr>
                <w:sz w:val="19"/>
                <w:szCs w:val="19"/>
              </w:rPr>
              <w:t xml:space="preserve">Direct booking share</w:t>
            </w:r>
          </w:p>
          <w:p>
            <w:pPr>
              <w:spacing w:after="0" w:before="20"/>
            </w:pPr>
            <w:r>
              <w:rPr>
                <w:sz w:val="19"/>
                <w:szCs w:val="19"/>
              </w:rPr>
              <w:t xml:space="preserve">Conversion rate</w:t>
            </w:r>
          </w:p>
          <w:p>
            <w:pPr>
              <w:spacing w:after="0" w:before="20"/>
            </w:pPr>
            <w:r>
              <w:rPr>
                <w:sz w:val="19"/>
                <w:szCs w:val="19"/>
              </w:rPr>
              <w:t xml:space="preserve">Market share</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Loyalty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Own the customer relationship</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Loyalty enrollment &amp; penetration</w:t>
            </w:r>
          </w:p>
          <w:p>
            <w:pPr>
              <w:spacing w:after="0" w:before="20"/>
            </w:pPr>
            <w:r>
              <w:rPr>
                <w:sz w:val="19"/>
                <w:szCs w:val="19"/>
              </w:rPr>
              <w:t xml:space="preserve">Repeat guest rate</w:t>
            </w:r>
          </w:p>
          <w:p>
            <w:pPr>
              <w:spacing w:after="0" w:before="20"/>
            </w:pPr>
            <w:r>
              <w:rPr>
                <w:sz w:val="19"/>
                <w:szCs w:val="19"/>
              </w:rPr>
              <w:t xml:space="preserve">Member revenue share</w:t>
            </w:r>
          </w:p>
          <w:p>
            <w:pPr>
              <w:spacing w:after="0" w:before="20"/>
            </w:pPr>
            <w:r>
              <w:rPr>
                <w:sz w:val="19"/>
                <w:szCs w:val="19"/>
              </w:rPr>
              <w:t xml:space="preserve">NPS</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Customer Experience</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Deliver consistent, high-rated stays/journeys</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Guest satisfaction (GSS)</w:t>
            </w:r>
          </w:p>
          <w:p>
            <w:pPr>
              <w:spacing w:after="0" w:before="20"/>
            </w:pPr>
            <w:r>
              <w:rPr>
                <w:sz w:val="19"/>
                <w:szCs w:val="19"/>
              </w:rPr>
              <w:t xml:space="preserve">NPS</w:t>
            </w:r>
          </w:p>
          <w:p>
            <w:pPr>
              <w:spacing w:after="0" w:before="20"/>
            </w:pPr>
            <w:r>
              <w:rPr>
                <w:sz w:val="19"/>
                <w:szCs w:val="19"/>
              </w:rPr>
              <w:t xml:space="preserve">Online review scores</w:t>
            </w:r>
          </w:p>
          <w:p>
            <w:pPr>
              <w:spacing w:after="0" w:before="20"/>
            </w:pPr>
            <w:r>
              <w:rPr>
                <w:sz w:val="19"/>
                <w:szCs w:val="19"/>
              </w:rPr>
              <w:t xml:space="preserve">Complaint resolution</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Operational Efficiency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Protect margin on each unit sold</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Cost per occupied room</w:t>
            </w:r>
          </w:p>
          <w:p>
            <w:pPr>
              <w:spacing w:after="0" w:before="20"/>
            </w:pPr>
            <w:r>
              <w:rPr>
                <w:sz w:val="19"/>
                <w:szCs w:val="19"/>
              </w:rPr>
              <w:t xml:space="preserve">Labor cost %</w:t>
            </w:r>
          </w:p>
          <w:p>
            <w:pPr>
              <w:spacing w:after="0" w:before="20"/>
            </w:pPr>
            <w:r>
              <w:rPr>
                <w:sz w:val="19"/>
                <w:szCs w:val="19"/>
              </w:rPr>
              <w:t xml:space="preserve">GOPPAR</w:t>
            </w:r>
          </w:p>
          <w:p>
            <w:pPr>
              <w:spacing w:after="0" w:before="20"/>
            </w:pPr>
            <w:r>
              <w:rPr>
                <w:sz w:val="19"/>
                <w:szCs w:val="19"/>
              </w:rPr>
              <w:t xml:space="preserve">On-time performance (air)</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Ancillary Revenue</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Grow revenue beyond the core unit</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Ancillary revenue per guest</w:t>
            </w:r>
          </w:p>
          <w:p>
            <w:pPr>
              <w:spacing w:after="0" w:before="20"/>
            </w:pPr>
            <w:r>
              <w:rPr>
                <w:sz w:val="19"/>
                <w:szCs w:val="19"/>
              </w:rPr>
              <w:t xml:space="preserve">Upsell / cross-sell attach rate</w:t>
            </w:r>
          </w:p>
          <w:p>
            <w:pPr>
              <w:spacing w:after="0" w:before="20"/>
            </w:pPr>
            <w:r>
              <w:rPr>
                <w:sz w:val="19"/>
                <w:szCs w:val="19"/>
              </w:rPr>
              <w:t xml:space="preserve">F&amp;B / spa revenue</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Distribution &amp; Channel Mix</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Shift mix toward profitable channels</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Direct vs. OTA mix</w:t>
            </w:r>
          </w:p>
          <w:p>
            <w:pPr>
              <w:spacing w:after="0" w:before="20"/>
            </w:pPr>
            <w:r>
              <w:rPr>
                <w:sz w:val="19"/>
                <w:szCs w:val="19"/>
              </w:rPr>
              <w:t xml:space="preserve">Distribution / acquisition cost</w:t>
            </w:r>
          </w:p>
          <w:p>
            <w:pPr>
              <w:spacing w:after="0" w:before="20"/>
            </w:pPr>
            <w:r>
              <w:rPr>
                <w:sz w:val="19"/>
                <w:szCs w:val="19"/>
              </w:rPr>
              <w:t xml:space="preserve">Channel contribution</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Asset &amp; Capacity Utilization</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Maximize use of fixed capacity</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Occupancy</w:t>
            </w:r>
          </w:p>
          <w:p>
            <w:pPr>
              <w:spacing w:after="0" w:before="20"/>
            </w:pPr>
            <w:r>
              <w:rPr>
                <w:sz w:val="19"/>
                <w:szCs w:val="19"/>
              </w:rPr>
              <w:t xml:space="preserve">Load factor</w:t>
            </w:r>
          </w:p>
          <w:p>
            <w:pPr>
              <w:spacing w:after="0" w:before="20"/>
            </w:pPr>
            <w:r>
              <w:rPr>
                <w:sz w:val="19"/>
                <w:szCs w:val="19"/>
              </w:rPr>
              <w:t xml:space="preserve">Asset utilization</w:t>
            </w:r>
          </w:p>
        </w:tc>
      </w:tr>
    </w:tbl>
    <w:p>
      <w:pPr>
        <w:pStyle w:val="Heading1"/>
        <w:spacing w:before="280"/>
      </w:pPr>
      <w:r>
        <w:t xml:space="preserve">Strategic Tensions to Balance</w:t>
      </w:r>
    </w:p>
    <w:p>
      <w:pPr>
        <w:spacing w:after="120"/>
      </w:pPr>
      <w:r>
        <w:rPr>
          <w:sz w:val="22"/>
          <w:szCs w:val="22"/>
        </w:rPr>
        <w:t xml:space="preserve">The central trade-off is rate versus occupancy — discounting fills rooms or seats but erodes RevPAR and yield. Direct-booking strategies reduce OTA commissions but require marketing investment to replace that demand. Loyalty programs build lifetime value yet carry redemption cost. Disciplined revenue management optimizes total profitability, not any one occupancy or rate figure.</w:t>
      </w:r>
    </w:p>
    <w:p>
      <w:pPr>
        <w:pStyle w:val="Heading1"/>
        <w:spacing w:before="200"/>
      </w:pPr>
      <w:r>
        <w:t xml:space="preserve">Where Digital Strategy Fits</w:t>
      </w:r>
    </w:p>
    <w:p>
      <w:pPr>
        <w:spacing w:after="140"/>
      </w:pPr>
      <w:r>
        <w:rPr>
          <w:sz w:val="22"/>
          <w:szCs w:val="22"/>
        </w:rPr>
        <w:t xml:space="preserve">Digital owns the modern travel journey from inspiration to in-stay service. It is the principal lever for shifting demand to direct channels, personalizing offers, and lifting ancillary revenue.</w:t>
      </w:r>
    </w:p>
    <w:p>
      <w:pPr>
        <w:pStyle w:val="ListParagraph"/>
        <w:numPr>
          <w:ilvl w:val="0"/>
          <w:numId w:val="2"/>
        </w:numPr>
        <w:spacing w:after="80"/>
      </w:pPr>
      <w:r>
        <w:rPr>
          <w:b/>
          <w:bCs/>
          <w:color w:val="1F3864"/>
        </w:rPr>
        <w:t xml:space="preserve">Direct demand — </w:t>
      </w:r>
      <w:r>
        <w:t xml:space="preserve">owned apps and sites shift share away from costly OTAs.</w:t>
      </w:r>
    </w:p>
    <w:p>
      <w:pPr>
        <w:pStyle w:val="ListParagraph"/>
        <w:numPr>
          <w:ilvl w:val="0"/>
          <w:numId w:val="2"/>
        </w:numPr>
        <w:spacing w:after="80"/>
      </w:pPr>
      <w:r>
        <w:rPr>
          <w:b/>
          <w:bCs/>
          <w:color w:val="1F3864"/>
        </w:rPr>
        <w:t xml:space="preserve">Pricing — </w:t>
      </w:r>
      <w:r>
        <w:t xml:space="preserve">dynamic pricing and AI revenue management optimize yield in real time.</w:t>
      </w:r>
    </w:p>
    <w:p>
      <w:pPr>
        <w:pStyle w:val="ListParagraph"/>
        <w:numPr>
          <w:ilvl w:val="0"/>
          <w:numId w:val="2"/>
        </w:numPr>
        <w:spacing w:after="80"/>
      </w:pPr>
      <w:r>
        <w:rPr>
          <w:b/>
          <w:bCs/>
          <w:color w:val="1F3864"/>
        </w:rPr>
        <w:t xml:space="preserve">Experience — </w:t>
      </w:r>
      <w:r>
        <w:t xml:space="preserve">mobile check-in, keyless entry and digital concierge reduce friction.</w:t>
      </w:r>
    </w:p>
    <w:p>
      <w:pPr>
        <w:pStyle w:val="ListParagraph"/>
        <w:numPr>
          <w:ilvl w:val="0"/>
          <w:numId w:val="2"/>
        </w:numPr>
        <w:spacing w:after="80"/>
      </w:pPr>
      <w:r>
        <w:rPr>
          <w:b/>
          <w:bCs/>
          <w:color w:val="1F3864"/>
        </w:rPr>
        <w:t xml:space="preserve">Personalization — </w:t>
      </w:r>
      <w:r>
        <w:t xml:space="preserve">data-driven offers raise conversion and ancillary attach rates.</w:t>
      </w:r>
    </w:p>
    <w:p>
      <w:pPr>
        <w:pStyle w:val="ListParagraph"/>
        <w:numPr>
          <w:ilvl w:val="0"/>
          <w:numId w:val="2"/>
        </w:numPr>
        <w:spacing w:after="80"/>
      </w:pPr>
      <w:r>
        <w:rPr>
          <w:b/>
          <w:bCs/>
          <w:color w:val="1F3864"/>
        </w:rPr>
        <w:t xml:space="preserve">Loyalty — </w:t>
      </w:r>
      <w:r>
        <w:t xml:space="preserve">app-based programs deepen engagement and repeat booking.</w:t>
      </w:r>
    </w:p>
    <w:p>
      <w:pPr>
        <w:pStyle w:val="Heading2"/>
        <w:spacing w:before="160"/>
      </w:pPr>
      <w:r>
        <w:t xml:space="preserve">Digital-Specific KPIs</w:t>
      </w:r>
    </w:p>
    <w:p>
      <w:pPr>
        <w:spacing w:after="80"/>
      </w:pPr>
      <w:r>
        <w:rPr>
          <w:sz w:val="22"/>
          <w:szCs w:val="22"/>
        </w:rPr>
        <w:t xml:space="preserve">Alongside the headline KPIs above, the digital transformation is typically tracked through: </w:t>
      </w:r>
      <w:r>
        <w:rPr>
          <w:sz w:val="22"/>
          <w:szCs w:val="22"/>
        </w:rPr>
        <w:t xml:space="preserve">Direct digital booking share; App adoption; Mobile check-in rate; Digital conversion rate; Personalization-driven revenue lift.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Travel &amp; Hospitality  |  Strategy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&amp; Hospitality — Strategy Best Practices</dc:title>
  <dc:creator>Strategy Reference Library</dc:creator>
  <cp:lastModifiedBy>Un-named</cp:lastModifiedBy>
  <cp:revision>1</cp:revision>
  <dcterms:created xsi:type="dcterms:W3CDTF">2026-06-11T00:39:35.211Z</dcterms:created>
  <dcterms:modified xsi:type="dcterms:W3CDTF">2026-06-11T00:39:35.211Z</dcterms:modified>
</cp:coreProperties>
</file>

<file path=docProps/custom.xml><?xml version="1.0" encoding="utf-8"?>
<Properties xmlns="http://schemas.openxmlformats.org/officeDocument/2006/custom-properties" xmlns:vt="http://schemas.openxmlformats.org/officeDocument/2006/docPropsVTypes"/>
</file>