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Wealth Management</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Wealth managers grow by attracting and retaining client assets, deepening relationships, and delivering advice that meets client goals. Economics are driven by assets under management, the fee margin earned on those assets, and the productivity of the advisor force.</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AUM Growth</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Grow assets under management organically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AUM growth</w:t>
            </w:r>
          </w:p>
          <w:p>
            <w:pPr>
              <w:spacing w:after="0" w:before="20"/>
            </w:pPr>
            <w:r>
              <w:rPr>
                <w:sz w:val="19"/>
                <w:szCs w:val="19"/>
              </w:rPr>
              <w:t xml:space="preserve">Net New Assets (NNA) / net new money</w:t>
            </w:r>
          </w:p>
          <w:p>
            <w:pPr>
              <w:spacing w:after="0" w:before="20"/>
            </w:pPr>
            <w:r>
              <w:rPr>
                <w:sz w:val="19"/>
                <w:szCs w:val="19"/>
              </w:rPr>
              <w:t xml:space="preserve">Organic growth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Revenue &amp; Profitability</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Earn efficient returns on assets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Revenue on assets (bps)</w:t>
            </w:r>
          </w:p>
          <w:p>
            <w:pPr>
              <w:spacing w:after="0" w:before="20"/>
            </w:pPr>
            <w:r>
              <w:rPr>
                <w:sz w:val="19"/>
                <w:szCs w:val="19"/>
              </w:rPr>
              <w:t xml:space="preserve">Fee margin</w:t>
            </w:r>
          </w:p>
          <w:p>
            <w:pPr>
              <w:spacing w:after="0" w:before="20"/>
            </w:pPr>
            <w:r>
              <w:rPr>
                <w:sz w:val="19"/>
                <w:szCs w:val="19"/>
              </w:rPr>
              <w:t xml:space="preserve">Pre-tax margin</w:t>
            </w:r>
          </w:p>
          <w:p>
            <w:pPr>
              <w:spacing w:after="0" w:before="20"/>
            </w:pPr>
            <w:r>
              <w:rPr>
                <w:sz w:val="19"/>
                <w:szCs w:val="19"/>
              </w:rPr>
              <w:t xml:space="preserve">Revenue per advisor</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Client Acquisition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Win new client households</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New client households</w:t>
            </w:r>
          </w:p>
          <w:p>
            <w:pPr>
              <w:spacing w:after="0" w:before="20"/>
            </w:pPr>
            <w:r>
              <w:rPr>
                <w:sz w:val="19"/>
                <w:szCs w:val="19"/>
              </w:rPr>
              <w:t xml:space="preserve">Referral rate</w:t>
            </w:r>
          </w:p>
          <w:p>
            <w:pPr>
              <w:spacing w:after="0" w:before="20"/>
            </w:pPr>
            <w:r>
              <w:rPr>
                <w:sz w:val="19"/>
                <w:szCs w:val="19"/>
              </w:rPr>
              <w:t xml:space="preserve">Prospect conversion rate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Client Retention &amp; Depth</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Retain clients and broaden relationships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Client retention rate</w:t>
            </w:r>
          </w:p>
          <w:p>
            <w:pPr>
              <w:spacing w:after="0" w:before="20"/>
            </w:pPr>
            <w:r>
              <w:rPr>
                <w:sz w:val="19"/>
                <w:szCs w:val="19"/>
              </w:rPr>
              <w:t xml:space="preserve">Attrition rate</w:t>
            </w:r>
          </w:p>
          <w:p>
            <w:pPr>
              <w:spacing w:after="0" w:before="20"/>
            </w:pPr>
            <w:r>
              <w:rPr>
                <w:sz w:val="19"/>
                <w:szCs w:val="19"/>
              </w:rPr>
              <w:t xml:space="preserve">Share of wallet</w:t>
            </w:r>
          </w:p>
          <w:p>
            <w:pPr>
              <w:spacing w:after="0" w:before="20"/>
            </w:pPr>
            <w:r>
              <w:rPr>
                <w:sz w:val="19"/>
                <w:szCs w:val="19"/>
              </w:rPr>
              <w:t xml:space="preserve">Households with multiple solutions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Advisor Productivity &amp; Retention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Maximize and keep advisor talent</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AUM per advisor</w:t>
            </w:r>
          </w:p>
          <w:p>
            <w:pPr>
              <w:spacing w:after="0" w:before="20"/>
            </w:pPr>
            <w:r>
              <w:rPr>
                <w:sz w:val="19"/>
                <w:szCs w:val="19"/>
              </w:rPr>
              <w:t xml:space="preserve">Revenue per advisor</w:t>
            </w:r>
          </w:p>
          <w:p>
            <w:pPr>
              <w:spacing w:after="0" w:before="20"/>
            </w:pPr>
            <w:r>
              <w:rPr>
                <w:sz w:val="19"/>
                <w:szCs w:val="19"/>
              </w:rPr>
              <w:t xml:space="preserve">Clients per advisor</w:t>
            </w:r>
          </w:p>
          <w:p>
            <w:pPr>
              <w:spacing w:after="0" w:before="20"/>
            </w:pPr>
            <w:r>
              <w:rPr>
                <w:sz w:val="19"/>
                <w:szCs w:val="19"/>
              </w:rPr>
              <w:t xml:space="preserve">Advisor attrition</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Investment Performance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Meet client goals and benchmarks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Performance vs. benchmark</w:t>
            </w:r>
          </w:p>
          <w:p>
            <w:pPr>
              <w:spacing w:after="0" w:before="20"/>
            </w:pPr>
            <w:r>
              <w:rPr>
                <w:sz w:val="19"/>
                <w:szCs w:val="19"/>
              </w:rPr>
              <w:t xml:space="preserve">Risk-adjusted returns</w:t>
            </w:r>
          </w:p>
          <w:p>
            <w:pPr>
              <w:spacing w:after="0" w:before="20"/>
            </w:pPr>
            <w:r>
              <w:rPr>
                <w:sz w:val="19"/>
                <w:szCs w:val="19"/>
              </w:rPr>
              <w:t xml:space="preserve">% portfolios meeting goals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Risk &amp; Compliance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Uphold suitability and fiduciary duty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Suitability / KYC compliance</w:t>
            </w:r>
          </w:p>
          <w:p>
            <w:pPr>
              <w:spacing w:after="0" w:before="20"/>
            </w:pPr>
            <w:r>
              <w:rPr>
                <w:sz w:val="19"/>
                <w:szCs w:val="19"/>
              </w:rPr>
              <w:t xml:space="preserve">Fiduciary adherence</w:t>
            </w:r>
          </w:p>
          <w:p>
            <w:pPr>
              <w:spacing w:after="0" w:before="20"/>
            </w:pPr>
            <w:r>
              <w:rPr>
                <w:sz w:val="19"/>
                <w:szCs w:val="19"/>
              </w:rPr>
              <w:t xml:space="preserve">Regulatory breaches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Client Experience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Deepen trust and engagement</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NPS</w:t>
            </w:r>
          </w:p>
          <w:p>
            <w:pPr>
              <w:spacing w:after="0" w:before="20"/>
            </w:pPr>
            <w:r>
              <w:rPr>
                <w:sz w:val="19"/>
                <w:szCs w:val="19"/>
              </w:rPr>
              <w:t xml:space="preserve">Client satisfaction</w:t>
            </w:r>
          </w:p>
          <w:p>
            <w:pPr>
              <w:spacing w:after="0" w:before="20"/>
            </w:pPr>
            <w:r>
              <w:rPr>
                <w:sz w:val="19"/>
                <w:szCs w:val="19"/>
              </w:rPr>
              <w:t xml:space="preserve">Financial-planning engagement rate</w:t>
            </w:r>
          </w:p>
        </w:tc>
      </w:tr>
    </w:tbl>
    <w:p>
      <w:pPr>
        <w:pStyle w:val="Heading1"/>
        <w:spacing w:before="280"/>
      </w:pPr>
      <w:r>
        <w:t xml:space="preserve">Strategic Tensions to Balance</w:t>
      </w:r>
    </w:p>
    <w:p>
      <w:pPr>
        <w:spacing w:after="120"/>
      </w:pPr>
      <w:r>
        <w:rPr>
          <w:sz w:val="22"/>
          <w:szCs w:val="22"/>
        </w:rPr>
        <w:t xml:space="preserve">Net new assets is the truest signal of organic health because total AUM can rise on market performance alone. Advisor productivity pulls against service depth (more clients per advisor can dilute relationships), and growth through recruiting pulls against margin. Sustainable franchises balance asset gathering with the advice quality that keeps assets sticky.</w:t>
      </w:r>
    </w:p>
    <w:p>
      <w:pPr>
        <w:pStyle w:val="Heading1"/>
        <w:spacing w:before="200"/>
      </w:pPr>
      <w:r>
        <w:t xml:space="preserve">Where Digital Strategy Fits</w:t>
      </w:r>
    </w:p>
    <w:p>
      <w:pPr>
        <w:spacing w:after="140"/>
      </w:pPr>
      <w:r>
        <w:rPr>
          <w:sz w:val="22"/>
          <w:szCs w:val="22"/>
        </w:rPr>
        <w:t xml:space="preserve">Digital in wealth management is about augmenting the advisor and meeting clients where they are — not replacing the relationship. It scales advice, lowers servicing cost, and creates the always-on engagement clients now expect.</w:t>
      </w:r>
    </w:p>
    <w:p>
      <w:pPr>
        <w:pStyle w:val="ListParagraph"/>
        <w:numPr>
          <w:ilvl w:val="0"/>
          <w:numId w:val="2"/>
        </w:numPr>
        <w:spacing w:after="80"/>
      </w:pPr>
      <w:r>
        <w:rPr>
          <w:b/>
          <w:bCs/>
          <w:color w:val="1F3864"/>
        </w:rPr>
        <w:t xml:space="preserve">Onboarding — </w:t>
      </w:r>
      <w:r>
        <w:t xml:space="preserve">digital account opening shortens time-to-fund and reduces friction.</w:t>
      </w:r>
    </w:p>
    <w:p>
      <w:pPr>
        <w:pStyle w:val="ListParagraph"/>
        <w:numPr>
          <w:ilvl w:val="0"/>
          <w:numId w:val="2"/>
        </w:numPr>
        <w:spacing w:after="80"/>
      </w:pPr>
      <w:r>
        <w:rPr>
          <w:b/>
          <w:bCs/>
          <w:color w:val="1F3864"/>
        </w:rPr>
        <w:t xml:space="preserve">Advice delivery — </w:t>
      </w:r>
      <w:r>
        <w:t xml:space="preserve">hybrid and robo models extend goal-based advice to more clients economically.</w:t>
      </w:r>
    </w:p>
    <w:p>
      <w:pPr>
        <w:pStyle w:val="ListParagraph"/>
        <w:numPr>
          <w:ilvl w:val="0"/>
          <w:numId w:val="2"/>
        </w:numPr>
        <w:spacing w:after="80"/>
      </w:pPr>
      <w:r>
        <w:rPr>
          <w:b/>
          <w:bCs/>
          <w:color w:val="1F3864"/>
        </w:rPr>
        <w:t xml:space="preserve">Engagement — </w:t>
      </w:r>
      <w:r>
        <w:t xml:space="preserve">client portals and apps provide transparency and drive planning interactions.</w:t>
      </w:r>
    </w:p>
    <w:p>
      <w:pPr>
        <w:pStyle w:val="ListParagraph"/>
        <w:numPr>
          <w:ilvl w:val="0"/>
          <w:numId w:val="2"/>
        </w:numPr>
        <w:spacing w:after="80"/>
      </w:pPr>
      <w:r>
        <w:rPr>
          <w:b/>
          <w:bCs/>
          <w:color w:val="1F3864"/>
        </w:rPr>
        <w:t xml:space="preserve">Advisor enablement — </w:t>
      </w:r>
      <w:r>
        <w:t xml:space="preserve">digital tools and analytics raise advisor productivity and next-best-action quality.</w:t>
      </w:r>
    </w:p>
    <w:p>
      <w:pPr>
        <w:pStyle w:val="ListParagraph"/>
        <w:numPr>
          <w:ilvl w:val="0"/>
          <w:numId w:val="2"/>
        </w:numPr>
        <w:spacing w:after="80"/>
      </w:pPr>
      <w:r>
        <w:rPr>
          <w:b/>
          <w:bCs/>
          <w:color w:val="1F3864"/>
        </w:rPr>
        <w:t xml:space="preserve">Retention — </w:t>
      </w:r>
      <w:r>
        <w:t xml:space="preserve">richer digital experiences increase stickiness and share of wallet.</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Digital client engagement rate; % clients active on portal / app; Digital onboarding completion rate; Hybrid / digital advice adoption; Advisor tool utilization.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Wealth Management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 Management — Strategy Best Practices</dc:title>
  <dc:creator>Strategy Reference Library</dc:creator>
  <cp:lastModifiedBy>Un-named</cp:lastModifiedBy>
  <cp:revision>1</cp:revision>
  <dcterms:created xsi:type="dcterms:W3CDTF">2026-06-11T00:39:35.082Z</dcterms:created>
  <dcterms:modified xsi:type="dcterms:W3CDTF">2026-06-11T00:39:35.082Z</dcterms:modified>
</cp:coreProperties>
</file>

<file path=docProps/custom.xml><?xml version="1.0" encoding="utf-8"?>
<Properties xmlns="http://schemas.openxmlformats.org/officeDocument/2006/custom-properties" xmlns:vt="http://schemas.openxmlformats.org/officeDocument/2006/docPropsVTypes"/>
</file>