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77777777"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V1 08.26.23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3"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3"/>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4" w:name="ResearchDesignandMethods"/>
      <w:r w:rsidRPr="00C70578">
        <w:rPr>
          <w:rFonts w:ascii="Arial" w:eastAsiaTheme="minorEastAsia" w:hAnsi="Arial" w:cs="Arial"/>
          <w:b/>
          <w:bCs/>
          <w:color w:val="000000" w:themeColor="text1"/>
          <w:sz w:val="20"/>
          <w:szCs w:val="20"/>
        </w:rPr>
        <w:t>Research Design and Methods</w:t>
      </w:r>
      <w:bookmarkEnd w:id="4"/>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02A42C40" w14:textId="1009E6F6" w:rsidR="00C70578" w:rsidRPr="00C70578" w:rsidRDefault="00D7225B"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P</w:t>
      </w:r>
      <w:r w:rsidR="00C70578" w:rsidRPr="00C70578">
        <w:rPr>
          <w:rFonts w:ascii="Arial" w:eastAsiaTheme="minorEastAsia" w:hAnsi="Arial" w:cs="Arial"/>
          <w:color w:val="000000" w:themeColor="text1"/>
          <w:sz w:val="20"/>
          <w:szCs w:val="20"/>
        </w:rPr>
        <w:t>articipant</w:t>
      </w:r>
      <w:r>
        <w:rPr>
          <w:rFonts w:ascii="Arial" w:eastAsiaTheme="minorEastAsia" w:hAnsi="Arial" w:cs="Arial"/>
          <w:color w:val="000000" w:themeColor="text1"/>
          <w:sz w:val="20"/>
          <w:szCs w:val="20"/>
        </w:rPr>
        <w:t>s’</w:t>
      </w:r>
      <w:r w:rsidR="00C70578" w:rsidRPr="00C70578">
        <w:rPr>
          <w:rFonts w:ascii="Arial" w:eastAsiaTheme="minorEastAsia" w:hAnsi="Arial" w:cs="Arial"/>
          <w:color w:val="000000" w:themeColor="text1"/>
          <w:sz w:val="20"/>
          <w:szCs w:val="20"/>
        </w:rPr>
        <w:t xml:space="preserve"> privacy and confidentiality </w:t>
      </w:r>
      <w:r>
        <w:rPr>
          <w:rFonts w:ascii="Arial" w:eastAsiaTheme="minorEastAsia" w:hAnsi="Arial" w:cs="Arial"/>
          <w:color w:val="000000" w:themeColor="text1"/>
          <w:sz w:val="20"/>
          <w:szCs w:val="20"/>
        </w:rPr>
        <w:t xml:space="preserve">will be protected </w:t>
      </w:r>
      <w:r w:rsidR="00C70578" w:rsidRPr="00C70578">
        <w:rPr>
          <w:rFonts w:ascii="Arial" w:eastAsiaTheme="minorEastAsia" w:hAnsi="Arial" w:cs="Arial"/>
          <w:color w:val="000000" w:themeColor="text1"/>
          <w:sz w:val="20"/>
          <w:szCs w:val="20"/>
        </w:rPr>
        <w:t>through a series of procedures. Participants will be informed of their right to withdraw from the survey at any point without facing any negative consequences. Once the survey is completed, participants will also have the choice to request the elimination of their data. It's important to note that no personally identifiable information will be gathered, and access to the data will be restricted solely to researchers affiliated with this IRB (Institutional Review Board).</w:t>
      </w:r>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5" w:name="PreliminaryData"/>
      <w:r w:rsidRPr="00C70578">
        <w:rPr>
          <w:rFonts w:ascii="Arial" w:eastAsiaTheme="minorBidi" w:hAnsi="Arial" w:cs="Arial"/>
          <w:b/>
          <w:bCs/>
          <w:color w:val="000000" w:themeColor="text1"/>
          <w:sz w:val="20"/>
          <w:szCs w:val="20"/>
        </w:rPr>
        <w:t>Preliminary Data</w:t>
      </w:r>
      <w:bookmarkEnd w:id="5"/>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6" w:name="SampleSizeJustification"/>
      <w:r w:rsidRPr="00C70578">
        <w:rPr>
          <w:rFonts w:ascii="Arial" w:eastAsiaTheme="minorEastAsia" w:hAnsi="Arial" w:cs="Arial"/>
          <w:b/>
          <w:bCs/>
          <w:color w:val="000000" w:themeColor="text1"/>
          <w:sz w:val="20"/>
          <w:szCs w:val="20"/>
        </w:rPr>
        <w:t>Sample Size Justification</w:t>
      </w:r>
      <w:bookmarkEnd w:id="6"/>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6AE060C5"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t xml:space="preserve">We aim to include a minimum </w:t>
      </w:r>
      <w:r w:rsidRPr="004A70F3">
        <w:rPr>
          <w:rFonts w:ascii="Arial" w:hAnsi="Arial" w:cs="Arial"/>
          <w:color w:val="000000" w:themeColor="text1"/>
          <w:sz w:val="20"/>
          <w:szCs w:val="20"/>
        </w:rPr>
        <w:t xml:space="preserve">of </w:t>
      </w:r>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taking into account the size of this preliminary study, as well as the time available, we consider it more appropriate, realistic and feasible to have approximately 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7" w:name="StudyVariables"/>
      <w:r w:rsidRPr="004A70F3">
        <w:rPr>
          <w:rFonts w:ascii="Arial" w:eastAsiaTheme="minorEastAsia" w:hAnsi="Arial" w:cs="Arial"/>
          <w:b/>
          <w:bCs/>
          <w:color w:val="000000" w:themeColor="text1"/>
          <w:sz w:val="20"/>
          <w:szCs w:val="20"/>
        </w:rPr>
        <w:t>Study Variables</w:t>
      </w:r>
      <w:bookmarkEnd w:id="7"/>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8" w:name="SpecimenCollection"/>
      <w:r w:rsidRPr="00B80E55">
        <w:rPr>
          <w:rFonts w:ascii="Arial" w:eastAsiaTheme="minorEastAsia" w:hAnsi="Arial" w:cs="Arial"/>
          <w:b/>
          <w:bCs/>
          <w:sz w:val="20"/>
          <w:szCs w:val="20"/>
        </w:rPr>
        <w:t>Specimen Collection</w:t>
      </w:r>
      <w:bookmarkEnd w:id="8"/>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9" w:name="DataCollection"/>
      <w:r w:rsidRPr="00B80E55">
        <w:rPr>
          <w:rFonts w:ascii="Arial" w:eastAsiaTheme="minorEastAsia" w:hAnsi="Arial" w:cs="Arial"/>
          <w:b/>
          <w:bCs/>
          <w:sz w:val="20"/>
          <w:szCs w:val="20"/>
        </w:rPr>
        <w:t>Data Collection</w:t>
      </w:r>
      <w:bookmarkEnd w:id="9"/>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51B7FA4D" w14:textId="4B63A98E" w:rsidR="00D7225B"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C70578">
        <w:rPr>
          <w:rFonts w:ascii="Arial" w:eastAsiaTheme="minorEastAsia" w:hAnsi="Arial" w:cs="Arial"/>
          <w:b/>
          <w:sz w:val="20"/>
          <w:szCs w:val="20"/>
          <w:u w:val="single"/>
        </w:rPr>
        <w:lastRenderedPageBreak/>
        <w:t>Subject Identifiers</w:t>
      </w:r>
      <w:r w:rsidRPr="00C70578">
        <w:rPr>
          <w:rFonts w:ascii="Arial" w:eastAsiaTheme="minorEastAsia" w:hAnsi="Arial" w:cs="Arial"/>
          <w:sz w:val="20"/>
          <w:szCs w:val="20"/>
        </w:rPr>
        <w:t>:</w:t>
      </w:r>
      <w:r w:rsidR="00C70578" w:rsidRPr="00C70578">
        <w:rPr>
          <w:rFonts w:ascii="Arial" w:eastAsiaTheme="minorEastAsia" w:hAnsi="Arial" w:cs="Arial"/>
          <w:color w:val="0070C0"/>
          <w:sz w:val="20"/>
          <w:szCs w:val="20"/>
        </w:rPr>
        <w:t xml:space="preserve"> </w:t>
      </w:r>
      <w:r w:rsidR="00C70578" w:rsidRPr="00C70578">
        <w:rPr>
          <w:rFonts w:ascii="Arial" w:hAnsi="Arial" w:cs="Arial"/>
          <w:sz w:val="20"/>
          <w:szCs w:val="20"/>
        </w:rPr>
        <w:t>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The survey data that we collect will be aggregated. Only researchers within this IRB will have access to the data.</w:t>
      </w:r>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 w:name="InterviewsFocusGroupsSurveys"/>
      <w:r w:rsidRPr="00B80E55">
        <w:rPr>
          <w:rFonts w:ascii="Arial" w:eastAsiaTheme="minorEastAsia" w:hAnsi="Arial" w:cs="Arial"/>
          <w:b/>
          <w:bCs/>
          <w:sz w:val="20"/>
          <w:szCs w:val="20"/>
        </w:rPr>
        <w:t>Interviews, Focus Groups, Surveys</w:t>
      </w:r>
      <w:bookmarkEnd w:id="10"/>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1" w:name="ProjectManagement"/>
      <w:r w:rsidRPr="00B80E55">
        <w:rPr>
          <w:rFonts w:ascii="Arial" w:eastAsiaTheme="minorEastAsia" w:hAnsi="Arial" w:cs="Arial"/>
          <w:b/>
          <w:bCs/>
          <w:sz w:val="20"/>
          <w:szCs w:val="20"/>
        </w:rPr>
        <w:t>Project Management</w:t>
      </w:r>
      <w:bookmarkEnd w:id="11"/>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2" w:name="ResearchStaffandQualifications"/>
      <w:r w:rsidRPr="00B80E55">
        <w:rPr>
          <w:rFonts w:ascii="Arial" w:eastAsiaTheme="minorEastAsia" w:hAnsi="Arial" w:cs="Arial"/>
          <w:b/>
          <w:bCs/>
          <w:sz w:val="20"/>
          <w:szCs w:val="20"/>
        </w:rPr>
        <w:t>Research Staff and Qualifications</w:t>
      </w:r>
      <w:bookmarkEnd w:id="12"/>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3" w:name="ResearchStaffTraining"/>
      <w:r w:rsidRPr="00B80E55">
        <w:rPr>
          <w:rFonts w:ascii="Arial" w:eastAsiaTheme="minorEastAsia" w:hAnsi="Arial" w:cs="Arial"/>
          <w:b/>
          <w:bCs/>
          <w:sz w:val="20"/>
          <w:szCs w:val="20"/>
        </w:rPr>
        <w:t>Research Staff Training</w:t>
      </w:r>
    </w:p>
    <w:bookmarkEnd w:id="13"/>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4" w:name="ResourcesAvailable"/>
      <w:r w:rsidRPr="00B80E55">
        <w:rPr>
          <w:rFonts w:ascii="Arial" w:eastAsiaTheme="minorEastAsia" w:hAnsi="Arial" w:cs="Arial"/>
        </w:rPr>
        <w:t>Resources Available</w:t>
      </w:r>
      <w:bookmarkEnd w:id="14"/>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lastRenderedPageBreak/>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5" w:name="ResearchSites"/>
      <w:r w:rsidRPr="00B80E55">
        <w:rPr>
          <w:rFonts w:ascii="Arial" w:eastAsiaTheme="minorEastAsia" w:hAnsi="Arial" w:cs="Arial"/>
          <w:b/>
          <w:bCs/>
          <w:sz w:val="20"/>
          <w:szCs w:val="20"/>
        </w:rPr>
        <w:t>Research Sites</w:t>
      </w:r>
      <w:bookmarkEnd w:id="15"/>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6" w:name="MultiCenterResearch"/>
      <w:r w:rsidRPr="00B80E55">
        <w:rPr>
          <w:rFonts w:ascii="Arial" w:eastAsiaTheme="minorEastAsia" w:hAnsi="Arial" w:cs="Arial"/>
          <w:b/>
          <w:bCs/>
          <w:sz w:val="20"/>
          <w:szCs w:val="20"/>
        </w:rPr>
        <w:t>Multi Center Research</w:t>
      </w:r>
      <w:bookmarkEnd w:id="16"/>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7" w:name="DataandSafetyMonitoring"/>
      <w:bookmarkStart w:id="18" w:name="SubjectConsiderations"/>
      <w:bookmarkStart w:id="19"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7"/>
      <w:bookmarkEnd w:id="18"/>
    </w:p>
    <w:bookmarkEnd w:id="19"/>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20" w:name="SubjectSelectionandEnrollmentConside"/>
      <w:r w:rsidRPr="00B80E55">
        <w:rPr>
          <w:rFonts w:ascii="Arial" w:eastAsiaTheme="minorEastAsia" w:hAnsi="Arial" w:cs="Arial"/>
          <w:b/>
          <w:bCs/>
          <w:sz w:val="20"/>
          <w:szCs w:val="20"/>
        </w:rPr>
        <w:t xml:space="preserve">Subject Selection and Enrollment Considerations </w:t>
      </w:r>
      <w:bookmarkEnd w:id="20"/>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1E8E40D4"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lastRenderedPageBreak/>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The survey data that we collect will be aggregated and will be stored for a minimum of five years after the final project closeout with original primary data retained. Only researchers within this IRB will have access to the data.</w:t>
      </w:r>
    </w:p>
    <w:p w14:paraId="7352A0DB" w14:textId="77777777" w:rsidR="005D01A2" w:rsidRDefault="005D01A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21" w:name="four2"/>
      <w:bookmarkEnd w:id="21"/>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22" w:name="NumberofSubjects"/>
      <w:r w:rsidRPr="00B80E55">
        <w:rPr>
          <w:rFonts w:ascii="Arial" w:eastAsiaTheme="minorEastAsia" w:hAnsi="Arial" w:cs="Arial"/>
        </w:rPr>
        <w:t>Number of Subjects</w:t>
      </w:r>
      <w:bookmarkEnd w:id="22"/>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23" w:name="ConsentProcedures"/>
      <w:r w:rsidRPr="00B80E55">
        <w:rPr>
          <w:rFonts w:ascii="Arial" w:eastAsiaTheme="minorEastAsia" w:hAnsi="Arial" w:cs="Arial"/>
          <w:b/>
          <w:bCs/>
          <w:sz w:val="20"/>
          <w:szCs w:val="20"/>
        </w:rPr>
        <w:t>Consent Procedures</w:t>
      </w:r>
      <w:bookmarkEnd w:id="23"/>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550D356B"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The consent will be self-administered by participants upon opening the survey instrument. The researchers will only be involved by virtue of having written the consent script.</w:t>
      </w:r>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0C3AB3C6" w14:textId="0D1B1D9A"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Since this is a self-administered procedure, no one will have access to participant information during the consent process. If they elect to participate, only general demographic data will be collected.</w:t>
      </w:r>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24" w:name="SpecialConsentPopulations"/>
      <w:r w:rsidRPr="00B80E55">
        <w:rPr>
          <w:rFonts w:ascii="Arial" w:eastAsiaTheme="minorEastAsia" w:hAnsi="Arial" w:cs="Arial"/>
          <w:b/>
          <w:bCs/>
          <w:sz w:val="20"/>
          <w:szCs w:val="20"/>
        </w:rPr>
        <w:t>Special Consent/Populations</w:t>
      </w:r>
      <w:bookmarkEnd w:id="24"/>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lastRenderedPageBreak/>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25" w:name="_Hlk63326958"/>
      <w:r w:rsidRPr="00352722">
        <w:rPr>
          <w:rFonts w:ascii="Arial" w:eastAsiaTheme="minorEastAsia" w:hAnsi="Arial" w:cs="Arial"/>
          <w:b/>
          <w:bCs/>
          <w:sz w:val="20"/>
          <w:szCs w:val="20"/>
        </w:rPr>
        <w:t>Special Consent Considerations</w:t>
      </w:r>
    </w:p>
    <w:bookmarkEnd w:id="25"/>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26" w:name="EconomicBurden"/>
      <w:r w:rsidRPr="00B80E55">
        <w:rPr>
          <w:rFonts w:ascii="Arial" w:eastAsiaTheme="minorEastAsia" w:hAnsi="Arial" w:cs="Arial"/>
          <w:b/>
          <w:bCs/>
          <w:sz w:val="20"/>
          <w:szCs w:val="20"/>
        </w:rPr>
        <w:t xml:space="preserve">Economic Burden </w:t>
      </w:r>
      <w:bookmarkEnd w:id="26"/>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7C7E33C4"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Participants will be awarded $10 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27"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27"/>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0B76B3">
        <w:rPr>
          <w:rFonts w:ascii="Arial" w:eastAsiaTheme="minorEastAsia" w:hAnsi="Arial" w:cs="Arial"/>
          <w:b/>
          <w:bCs/>
          <w:sz w:val="20"/>
          <w:szCs w:val="20"/>
        </w:rPr>
        <w:t>Description of Subject Risk</w:t>
      </w:r>
      <w:r w:rsidR="001E5B28">
        <w:rPr>
          <w:rFonts w:ascii="Arial" w:eastAsiaTheme="minorEastAsia" w:hAnsi="Arial" w:cs="Arial"/>
          <w:b/>
          <w:bCs/>
          <w:sz w:val="20"/>
          <w:szCs w:val="20"/>
        </w:rPr>
        <w:t>s of Harm</w:t>
      </w:r>
      <w:r w:rsidR="00D836E0">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4A70B586" w14:textId="37E82C36" w:rsidR="00973AEC" w:rsidRPr="00973AEC" w:rsidRDefault="00973AEC" w:rsidP="00E23290">
      <w:pPr>
        <w:spacing w:after="0" w:line="240" w:lineRule="auto"/>
        <w:ind w:left="72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lastRenderedPageBreak/>
        <w:t>There are no known risks to participants as a result of taking part in this study. No sensitive, personal information will be collected. Disclosure outside of the research would not reasonably place the subjects at risk of harm (e.g., legal, financial, reputational, employability).</w:t>
      </w:r>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28" w:name="SpecialConsiderations"/>
      <w:r w:rsidRPr="00B80E55">
        <w:rPr>
          <w:rFonts w:ascii="Arial" w:eastAsiaTheme="minorEastAsia" w:hAnsi="Arial" w:cs="Arial"/>
          <w:b/>
          <w:bCs/>
          <w:sz w:val="20"/>
          <w:szCs w:val="20"/>
        </w:rPr>
        <w:t>Special Considerations</w:t>
      </w:r>
      <w:bookmarkEnd w:id="28"/>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29" w:name="HealthInsurancePortabilityandAccount"/>
      <w:r w:rsidRPr="00B80E55">
        <w:rPr>
          <w:rFonts w:ascii="Arial" w:eastAsiaTheme="minorEastAsia" w:hAnsi="Arial" w:cs="Arial"/>
          <w:b/>
          <w:bCs/>
          <w:sz w:val="20"/>
          <w:szCs w:val="20"/>
        </w:rPr>
        <w:t xml:space="preserve">Health Insurance Portability and Accountability </w:t>
      </w:r>
      <w:bookmarkEnd w:id="29"/>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30" w:name="FamilyEducationalRightsandPrivacyAc"/>
      <w:r w:rsidRPr="00B80E55">
        <w:rPr>
          <w:rFonts w:ascii="Arial" w:eastAsiaTheme="minorEastAsia" w:hAnsi="Arial" w:cs="Arial"/>
          <w:b/>
          <w:bCs/>
          <w:sz w:val="20"/>
          <w:szCs w:val="20"/>
        </w:rPr>
        <w:t xml:space="preserve">Family Educational Rights and Privacy Act </w:t>
      </w:r>
      <w:bookmarkEnd w:id="30"/>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31" w:name="CodeoffederalTitle45"/>
      <w:r w:rsidR="00856D49" w:rsidRPr="00B80E55">
        <w:rPr>
          <w:rFonts w:ascii="Arial" w:hAnsi="Arial" w:cs="Arial"/>
          <w:b/>
          <w:bCs/>
          <w:sz w:val="20"/>
          <w:szCs w:val="20"/>
        </w:rPr>
        <w:t>Code of Federal Regulations Title 45 Part 46 (Vulnerable Populations)</w:t>
      </w:r>
      <w:bookmarkEnd w:id="31"/>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32" w:name="GDPR"/>
      <w:r w:rsidR="00856D49" w:rsidRPr="00107B95">
        <w:rPr>
          <w:rFonts w:ascii="Arial" w:eastAsia="Arial" w:hAnsi="Arial" w:cs="Arial"/>
          <w:b/>
          <w:bCs/>
          <w:sz w:val="20"/>
          <w:szCs w:val="20"/>
        </w:rPr>
        <w:t>General Data Protection Regulation (GDPR)</w:t>
      </w:r>
    </w:p>
    <w:bookmarkEnd w:id="32"/>
    <w:p w14:paraId="5170A999" w14:textId="77777777" w:rsidR="00107B95" w:rsidRDefault="00107B95" w:rsidP="00E23290">
      <w:pPr>
        <w:pStyle w:val="NormalWeb"/>
        <w:shd w:val="clear" w:color="auto" w:fill="FFFFFF"/>
        <w:spacing w:before="0" w:beforeAutospacing="0" w:after="0" w:afterAutospacing="0"/>
        <w:ind w:left="360"/>
        <w:jc w:val="both"/>
        <w:rPr>
          <w:rFonts w:ascii="Arial" w:eastAsia="Arial" w:hAnsi="Arial" w:cs="Arial"/>
          <w:color w:val="000000" w:themeColor="text1"/>
          <w:sz w:val="20"/>
          <w:szCs w:val="20"/>
        </w:rPr>
      </w:pPr>
    </w:p>
    <w:p w14:paraId="61A9D538" w14:textId="21A4962B" w:rsidR="0034044B" w:rsidRPr="00107B95" w:rsidRDefault="00107B95"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571C6FE4" w14:textId="0F77F358" w:rsidR="00107B95" w:rsidRDefault="00107B95" w:rsidP="00E23290">
      <w:pPr>
        <w:spacing w:after="0" w:line="240" w:lineRule="auto"/>
        <w:jc w:val="both"/>
        <w:rPr>
          <w:rFonts w:ascii="Arial" w:eastAsiaTheme="minorEastAsia" w:hAnsi="Arial" w:cs="Arial"/>
          <w:color w:val="0070C0"/>
          <w:sz w:val="20"/>
          <w:szCs w:val="20"/>
        </w:rPr>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33" w:name="NJAccessMedicalAct"/>
      <w:r>
        <w:rPr>
          <w:rFonts w:ascii="Arial" w:hAnsi="Arial" w:cs="Arial"/>
          <w:b/>
          <w:bCs/>
          <w:color w:val="000000"/>
          <w:sz w:val="20"/>
          <w:szCs w:val="20"/>
          <w:bdr w:val="none" w:sz="0" w:space="0" w:color="auto" w:frame="1"/>
        </w:rPr>
        <w:t>NJ Access to Medical Research Act (Surrogate Consent)</w:t>
      </w:r>
    </w:p>
    <w:bookmarkEnd w:id="33"/>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34" w:name="DataManagementPlan"/>
      <w:r w:rsidRPr="00B80E55">
        <w:rPr>
          <w:rFonts w:ascii="Arial" w:eastAsiaTheme="minorEastAsia" w:hAnsi="Arial" w:cs="Arial"/>
          <w:b/>
          <w:bCs/>
          <w:sz w:val="20"/>
          <w:szCs w:val="20"/>
        </w:rPr>
        <w:t>Data Management Plan</w:t>
      </w:r>
      <w:bookmarkEnd w:id="34"/>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35" w:name="DataAnalysis"/>
      <w:r w:rsidRPr="00B80E55">
        <w:rPr>
          <w:rFonts w:ascii="Arial" w:eastAsiaTheme="minorEastAsia" w:hAnsi="Arial" w:cs="Arial"/>
          <w:b/>
          <w:bCs/>
          <w:sz w:val="20"/>
          <w:szCs w:val="20"/>
        </w:rPr>
        <w:t>Data Analysis</w:t>
      </w:r>
      <w:bookmarkEnd w:id="35"/>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4BD923C9" w14:textId="3DB71BA1" w:rsidR="006E05FF" w:rsidRPr="00973AEC" w:rsidRDefault="00973AEC" w:rsidP="00E23290">
      <w:pPr>
        <w:spacing w:after="0" w:line="240" w:lineRule="auto"/>
        <w:ind w:left="360"/>
        <w:contextualSpacing/>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r w:rsidR="004A70F3">
        <w:rPr>
          <w:rFonts w:ascii="Arial" w:eastAsiaTheme="minorEastAsia" w:hAnsi="Arial" w:cs="Arial"/>
          <w:color w:val="000000" w:themeColor="text1"/>
          <w:sz w:val="20"/>
          <w:szCs w:val="20"/>
        </w:rPr>
        <w:t>i</w:t>
      </w:r>
      <w:r w:rsidRPr="00973AEC">
        <w:rPr>
          <w:rFonts w:ascii="Arial" w:eastAsiaTheme="minorEastAsia" w:hAnsi="Arial" w:cs="Arial"/>
          <w:color w:val="000000" w:themeColor="text1"/>
          <w:sz w:val="20"/>
          <w:szCs w:val="20"/>
        </w:rPr>
        <w:t>n R in order to explore interaction between the factors under consideration (R Core Team 2022)</w:t>
      </w:r>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36" w:name="DataSecurity"/>
      <w:r w:rsidRPr="00B80E55">
        <w:rPr>
          <w:rFonts w:ascii="Arial" w:eastAsiaTheme="minorEastAsia" w:hAnsi="Arial" w:cs="Arial"/>
          <w:b/>
          <w:bCs/>
          <w:sz w:val="20"/>
          <w:szCs w:val="20"/>
        </w:rPr>
        <w:t>Data Security</w:t>
      </w:r>
      <w:bookmarkEnd w:id="36"/>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1C77FE69" w:rsidR="00973AEC" w:rsidRPr="00973AEC" w:rsidRDefault="00973AEC" w:rsidP="00E23290">
      <w:pPr>
        <w:spacing w:after="0" w:line="240" w:lineRule="auto"/>
        <w:ind w:left="360"/>
        <w:contextualSpacing/>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Data will be collected on a Qualtrics account that only Mr. Alejandro Andreas Jaume-Losa will have access to, that is password protected. At the time of analysis, data will be downloaded and stored on the computer of the researcher and will be password protected.</w:t>
      </w: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37" w:name="six3"/>
      <w:bookmarkEnd w:id="37"/>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38" w:name="ReportingResults"/>
      <w:r w:rsidRPr="00B80E55">
        <w:rPr>
          <w:rFonts w:ascii="Arial" w:eastAsiaTheme="minorEastAsia" w:hAnsi="Arial" w:cs="Arial"/>
          <w:b/>
          <w:bCs/>
          <w:sz w:val="20"/>
          <w:szCs w:val="20"/>
        </w:rPr>
        <w:t>Reporting Results</w:t>
      </w:r>
    </w:p>
    <w:bookmarkEnd w:id="38"/>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484493B3" w:rsidR="000F2950" w:rsidRPr="000F2950" w:rsidRDefault="000F2950" w:rsidP="00E23290">
      <w:pPr>
        <w:spacing w:after="0" w:line="240" w:lineRule="auto"/>
        <w:ind w:left="720"/>
        <w:contextualSpacing/>
        <w:jc w:val="both"/>
        <w:rPr>
          <w:rFonts w:ascii="Arial" w:eastAsiaTheme="minorEastAsia" w:hAnsi="Arial" w:cs="Arial"/>
          <w:sz w:val="20"/>
          <w:szCs w:val="20"/>
        </w:rPr>
      </w:pPr>
      <w:r w:rsidRPr="000F2950">
        <w:rPr>
          <w:rFonts w:ascii="Arial" w:eastAsiaTheme="minorEastAsia" w:hAnsi="Arial" w:cs="Arial"/>
          <w:sz w:val="20"/>
          <w:szCs w:val="20"/>
        </w:rPr>
        <w:t>Due to the anonymous nature of our data collection procedures, we will not have the ability to 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5266C359" w:rsidR="000F2950" w:rsidRPr="000F2950" w:rsidRDefault="000F2950" w:rsidP="00E23290">
      <w:pPr>
        <w:pStyle w:val="ListParagraph"/>
        <w:spacing w:after="0" w:line="240" w:lineRule="auto"/>
        <w:jc w:val="both"/>
        <w:rPr>
          <w:rFonts w:ascii="Arial" w:eastAsiaTheme="minorEastAsia" w:hAnsi="Arial" w:cs="Arial"/>
          <w:b/>
          <w:bCs/>
          <w:sz w:val="20"/>
          <w:szCs w:val="20"/>
        </w:rPr>
      </w:pPr>
      <w:r w:rsidRPr="000F2950">
        <w:rPr>
          <w:rFonts w:ascii="Arial" w:eastAsiaTheme="minorEastAsia" w:hAnsi="Arial" w:cs="Arial"/>
          <w:sz w:val="20"/>
          <w:szCs w:val="20"/>
        </w:rPr>
        <w:t>Due to the anonymous nature of our data collection procedures, we will not have the ability to 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lastRenderedPageBreak/>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39" w:name="SecondaryUseoftheData"/>
      <w:r w:rsidRPr="00B80E55">
        <w:rPr>
          <w:rFonts w:ascii="Arial" w:eastAsiaTheme="minorEastAsia" w:hAnsi="Arial" w:cs="Arial"/>
          <w:b/>
          <w:bCs/>
          <w:sz w:val="20"/>
          <w:szCs w:val="20"/>
        </w:rPr>
        <w:t xml:space="preserve">Secondary Use of the Data   </w:t>
      </w:r>
      <w:bookmarkEnd w:id="39"/>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40" w:name="ResearchRepositories"/>
      <w:r w:rsidRPr="00B80E55">
        <w:rPr>
          <w:rFonts w:ascii="Arial" w:eastAsiaTheme="minorEastAsia" w:hAnsi="Arial" w:cs="Arial"/>
          <w:b/>
          <w:bCs/>
          <w:sz w:val="20"/>
          <w:szCs w:val="20"/>
        </w:rPr>
        <w:t xml:space="preserve">Research Repositories </w:t>
      </w:r>
      <w:bookmarkEnd w:id="40"/>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41" w:name="ApprovalsAuthorizations"/>
      <w:r w:rsidRPr="00107B95">
        <w:rPr>
          <w:rFonts w:ascii="Arial" w:eastAsiaTheme="minorEastAsia" w:hAnsi="Arial" w:cs="Arial"/>
          <w:b/>
          <w:bCs/>
          <w:sz w:val="20"/>
          <w:szCs w:val="20"/>
        </w:rPr>
        <w:t>Approvals/Authorizations</w:t>
      </w:r>
      <w:bookmarkEnd w:id="41"/>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42" w:name="Bibliography"/>
      <w:r w:rsidRPr="00B80E55">
        <w:rPr>
          <w:rFonts w:ascii="Arial" w:eastAsiaTheme="minorEastAsia" w:hAnsi="Arial" w:cs="Arial"/>
          <w:b/>
          <w:bCs/>
          <w:sz w:val="20"/>
          <w:szCs w:val="20"/>
        </w:rPr>
        <w:t>Bibliography</w:t>
      </w:r>
      <w:bookmarkEnd w:id="42"/>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3852" w14:textId="77777777" w:rsidR="00CB18FF" w:rsidRDefault="00CB18FF" w:rsidP="00126E30">
      <w:pPr>
        <w:spacing w:after="0" w:line="240" w:lineRule="auto"/>
      </w:pPr>
      <w:r>
        <w:separator/>
      </w:r>
    </w:p>
  </w:endnote>
  <w:endnote w:type="continuationSeparator" w:id="0">
    <w:p w14:paraId="17CB831A" w14:textId="77777777" w:rsidR="00CB18FF" w:rsidRDefault="00CB18FF" w:rsidP="00126E30">
      <w:pPr>
        <w:spacing w:after="0" w:line="240" w:lineRule="auto"/>
      </w:pPr>
      <w:r>
        <w:continuationSeparator/>
      </w:r>
    </w:p>
  </w:endnote>
  <w:endnote w:type="continuationNotice" w:id="1">
    <w:p w14:paraId="15BABAB5" w14:textId="77777777" w:rsidR="00CB18FF" w:rsidRDefault="00CB1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39D3CB78"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v1 08.26.23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C1660" w14:textId="77777777" w:rsidR="00CB18FF" w:rsidRDefault="00CB18FF" w:rsidP="00126E30">
      <w:pPr>
        <w:spacing w:after="0" w:line="240" w:lineRule="auto"/>
      </w:pPr>
      <w:bookmarkStart w:id="0" w:name="_Hlk93260596"/>
      <w:bookmarkEnd w:id="0"/>
      <w:r>
        <w:separator/>
      </w:r>
    </w:p>
  </w:footnote>
  <w:footnote w:type="continuationSeparator" w:id="0">
    <w:p w14:paraId="0D102065" w14:textId="77777777" w:rsidR="00CB18FF" w:rsidRDefault="00CB18FF" w:rsidP="00126E30">
      <w:pPr>
        <w:spacing w:after="0" w:line="240" w:lineRule="auto"/>
      </w:pPr>
      <w:r>
        <w:continuationSeparator/>
      </w:r>
    </w:p>
  </w:footnote>
  <w:footnote w:type="continuationNotice" w:id="1">
    <w:p w14:paraId="1F907D8B" w14:textId="77777777" w:rsidR="00CB18FF" w:rsidRDefault="00CB18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5B2"/>
    <w:rsid w:val="00283FB6"/>
    <w:rsid w:val="00284785"/>
    <w:rsid w:val="00292534"/>
    <w:rsid w:val="002949D7"/>
    <w:rsid w:val="00296AFD"/>
    <w:rsid w:val="002978EB"/>
    <w:rsid w:val="002A053D"/>
    <w:rsid w:val="002A1349"/>
    <w:rsid w:val="002A1CA8"/>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B44"/>
    <w:rsid w:val="0035203E"/>
    <w:rsid w:val="003521A9"/>
    <w:rsid w:val="00352859"/>
    <w:rsid w:val="003572D4"/>
    <w:rsid w:val="00370706"/>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7BDC"/>
    <w:rsid w:val="006F5263"/>
    <w:rsid w:val="007030D4"/>
    <w:rsid w:val="00703746"/>
    <w:rsid w:val="00704505"/>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F19"/>
    <w:rsid w:val="00844540"/>
    <w:rsid w:val="00847AE4"/>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5C92"/>
    <w:rsid w:val="00D113E3"/>
    <w:rsid w:val="00D11BF2"/>
    <w:rsid w:val="00D15CF8"/>
    <w:rsid w:val="00D21EB2"/>
    <w:rsid w:val="00D222F6"/>
    <w:rsid w:val="00D31A52"/>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3818</Words>
  <Characters>21002</Characters>
  <Application>Microsoft Office Word</Application>
  <DocSecurity>0</DocSecurity>
  <Lines>840</Lines>
  <Paragraphs>435</Paragraphs>
  <ScaleCrop>false</ScaleCrop>
  <Company>Rutgers Biomedical and Health Sciences</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2</cp:revision>
  <cp:lastPrinted>2018-12-12T19:45:00Z</cp:lastPrinted>
  <dcterms:created xsi:type="dcterms:W3CDTF">2023-08-26T14:58:00Z</dcterms:created>
  <dcterms:modified xsi:type="dcterms:W3CDTF">2023-08-26T14:58:00Z</dcterms:modified>
</cp:coreProperties>
</file>