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STAT6305_1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HW#2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Nikta Farsai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Shruti Natekar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H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µ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µ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=µ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µ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:at least one of the incentive plan means is different from the others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The P-value is 0.1181 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0.05. Therefore, we fail to reject the Null Hypothesis since there is no evidence that there is a difference between the means of incentive plans A, B, C and 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24425" cy="2300288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72050" cy="3500438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Based on the result from SAS, it shows the means of incentive plans are not significantly different from each other which also supports part B that we failed to reject the null hypothesis of having equal means.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14913" cy="43910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 H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: Residuals follow a Normal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Residuals do not follow a Normal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P-value is 0.0001 which is less than the  α = 0.05. Therefore we reject the null hypothesis and conclude that the residuals do not follow a Normal Distribution. We could also see that the residuals do not follow a Normal plot and its skewed.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57800" cy="2709863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      </w:t>
      </w:r>
      <w:r w:rsidDel="00000000" w:rsidR="00000000" w:rsidRPr="00000000">
        <w:drawing>
          <wp:inline distB="114300" distT="114300" distL="114300" distR="114300">
            <wp:extent cx="5943600" cy="266223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67363" cy="2514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: Variances of residuals are 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: At least one of the variances differ from the 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Due to the P-value =0.0519 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α = 0.05 and the F-value = 2.69 &lt; critical  F-value (df1=3, df2=76,   α = 0.05) = 2.724 , we fail to reject the null hypothesis of equal variances assumption. Therefore, we conclude that we have equal variances between the residuals.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14825" cy="2095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356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12" Type="http://schemas.openxmlformats.org/officeDocument/2006/relationships/image" Target="media/image15.png"/><Relationship Id="rId9" Type="http://schemas.openxmlformats.org/officeDocument/2006/relationships/image" Target="media/image10.png"/><Relationship Id="rId5" Type="http://schemas.openxmlformats.org/officeDocument/2006/relationships/image" Target="media/image06.png"/><Relationship Id="rId6" Type="http://schemas.openxmlformats.org/officeDocument/2006/relationships/image" Target="media/image03.png"/><Relationship Id="rId7" Type="http://schemas.openxmlformats.org/officeDocument/2006/relationships/image" Target="media/image12.png"/><Relationship Id="rId8" Type="http://schemas.openxmlformats.org/officeDocument/2006/relationships/image" Target="media/image07.png"/></Relationships>
</file>