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A B C 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cards;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422 521 437 582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431 545 422 639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784 600 473 735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711 406 478 800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641 563 397 853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709 361 944 748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344 387 394 622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599 700 890 514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511 348 488 714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381 944 521 627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349 545 387 548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387 337 633 644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394 427 627 736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621 771 444 528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328 752 1467 595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636 810 828 572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388 406 644 627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901 537 1154 546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394 816 430 701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350 369 508 664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print 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print data=EX;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one; set EX;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method="A"; Y=A;output;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method="B"; Y=B;output;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method="C"; Y=C;output;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method="D"; Y=D;output;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keep Y method;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method; /*to show your variable is not categorical, its numerical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Y=method;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method;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Y=method;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means method / lsd; /*compare treatment means*/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data=one; /*check residuals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method;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Y=method;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 out= resids r=res;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univariate normal plot;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res;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 glm data=one;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 method;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 Y=method;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means method/hovtest=levene;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