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81C" w:rsidRDefault="008C7210">
      <w:pPr>
        <w:tabs>
          <w:tab w:val="right" w:pos="10803"/>
        </w:tabs>
        <w:spacing w:after="0"/>
        <w:ind w:left="-15"/>
      </w:pPr>
      <w:r>
        <w:rPr>
          <w:b/>
          <w:color w:val="2E74B5"/>
          <w:sz w:val="24"/>
        </w:rPr>
        <w:t xml:space="preserve">TOTAL MARKS:70                                                                                                                   </w:t>
      </w:r>
      <w:r>
        <w:rPr>
          <w:b/>
          <w:color w:val="2E74B5"/>
          <w:sz w:val="24"/>
        </w:rPr>
        <w:tab/>
        <w:t xml:space="preserve"> </w:t>
      </w:r>
    </w:p>
    <w:p w:rsidR="00A4481C" w:rsidRDefault="008C7210">
      <w:pPr>
        <w:spacing w:after="48"/>
        <w:ind w:left="-29" w:right="-28"/>
      </w:pPr>
      <w:r>
        <w:rPr>
          <w:noProof/>
        </w:rPr>
        <mc:AlternateContent>
          <mc:Choice Requires="wpg">
            <w:drawing>
              <wp:inline distT="0" distB="0" distL="0" distR="0">
                <wp:extent cx="6895846" cy="6096"/>
                <wp:effectExtent l="0" t="0" r="0" b="0"/>
                <wp:docPr id="3753" name="Group 3753"/>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269" name="Shape 4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3" style="width:542.98pt;height:0.47998pt;mso-position-horizontal-relative:char;mso-position-vertical-relative:line" coordsize="68958,60">
                <v:shape id="Shape 4270"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A4481C" w:rsidRDefault="00A4481C">
      <w:pPr>
        <w:spacing w:after="22"/>
        <w:ind w:left="720"/>
      </w:pPr>
    </w:p>
    <w:p w:rsidR="00A4481C" w:rsidRDefault="008C7210">
      <w:pPr>
        <w:spacing w:after="241"/>
        <w:ind w:left="-5" w:hanging="10"/>
      </w:pPr>
      <w:r>
        <w:rPr>
          <w:b/>
          <w:color w:val="2E74B5"/>
          <w:sz w:val="24"/>
        </w:rPr>
        <w:t xml:space="preserve">DATASET: </w:t>
      </w:r>
    </w:p>
    <w:p w:rsidR="00A4481C" w:rsidRDefault="008C7210">
      <w:pPr>
        <w:pBdr>
          <w:top w:val="single" w:sz="4" w:space="0" w:color="000000"/>
          <w:left w:val="single" w:sz="4" w:space="0" w:color="000000"/>
          <w:bottom w:val="single" w:sz="4" w:space="0" w:color="000000"/>
          <w:right w:val="single" w:sz="4" w:space="0" w:color="000000"/>
        </w:pBdr>
        <w:spacing w:after="355" w:line="241" w:lineRule="auto"/>
        <w:ind w:right="5"/>
        <w:jc w:val="both"/>
      </w:pPr>
      <w:r>
        <w:rPr>
          <w:rFonts w:ascii="Arial" w:eastAsia="Arial" w:hAnsi="Arial" w:cs="Arial"/>
          <w:b/>
          <w:color w:val="123654"/>
          <w:sz w:val="20"/>
        </w:rPr>
        <w:t xml:space="preserve">Note: For this exam two datasets are used. Q.1 and 2 should be answered for both the datasets. The first dataset dermatology.csv should be used for answering questions 3 second dataset should be used for answering question 5 and 6. Question no 6. should summarize all the findings for both the datasets. </w:t>
      </w:r>
    </w:p>
    <w:p w:rsidR="00A4481C" w:rsidRDefault="008C7210">
      <w:pPr>
        <w:spacing w:after="96"/>
      </w:pPr>
      <w:r>
        <w:rPr>
          <w:b/>
          <w:color w:val="222222"/>
          <w:sz w:val="24"/>
        </w:rPr>
        <w:t xml:space="preserve"> </w:t>
      </w:r>
    </w:p>
    <w:p w:rsidR="00A4481C" w:rsidRDefault="008C7210">
      <w:pPr>
        <w:spacing w:after="4" w:line="268" w:lineRule="auto"/>
        <w:ind w:left="715" w:hanging="10"/>
      </w:pPr>
      <w:r>
        <w:rPr>
          <w:sz w:val="24"/>
        </w:rPr>
        <w:t>This database (</w:t>
      </w:r>
      <w:proofErr w:type="gramStart"/>
      <w:r>
        <w:rPr>
          <w:sz w:val="24"/>
        </w:rPr>
        <w:t>dermatology.csv)contains</w:t>
      </w:r>
      <w:proofErr w:type="gramEnd"/>
      <w:r>
        <w:rPr>
          <w:sz w:val="24"/>
        </w:rPr>
        <w:t xml:space="preserve"> 34 attributes, 33 of which are linear valued and one of them is nominal. </w:t>
      </w:r>
    </w:p>
    <w:p w:rsidR="00A4481C" w:rsidRDefault="008C7210">
      <w:pPr>
        <w:spacing w:after="22"/>
        <w:ind w:left="720"/>
      </w:pPr>
      <w:r>
        <w:rPr>
          <w:sz w:val="24"/>
        </w:rPr>
        <w:t xml:space="preserve"> </w:t>
      </w:r>
    </w:p>
    <w:p w:rsidR="00A4481C" w:rsidRDefault="008C7210">
      <w:pPr>
        <w:spacing w:after="4" w:line="268" w:lineRule="auto"/>
        <w:ind w:left="715" w:hanging="10"/>
      </w:pPr>
      <w:r>
        <w:rPr>
          <w:sz w:val="24"/>
        </w:rPr>
        <w:t xml:space="preserve">The differential diagnosis of </w:t>
      </w:r>
      <w:proofErr w:type="spellStart"/>
      <w:r>
        <w:rPr>
          <w:sz w:val="24"/>
        </w:rPr>
        <w:t>erythemato</w:t>
      </w:r>
      <w:proofErr w:type="spellEnd"/>
      <w:r>
        <w:rPr>
          <w:sz w:val="24"/>
        </w:rPr>
        <w:t xml:space="preserve">-squamous diseases is a real problem in dermatology. They all share the clinical features of erythema and scaling, with very little differences. The diseases in this group are psoriasis, </w:t>
      </w:r>
      <w:proofErr w:type="spellStart"/>
      <w:r>
        <w:rPr>
          <w:sz w:val="24"/>
        </w:rPr>
        <w:t>seboreic</w:t>
      </w:r>
      <w:proofErr w:type="spellEnd"/>
      <w:r>
        <w:rPr>
          <w:sz w:val="24"/>
        </w:rPr>
        <w:t xml:space="preserve"> dermatitis, lichen planus, pityriasis </w:t>
      </w:r>
      <w:proofErr w:type="spellStart"/>
      <w:r>
        <w:rPr>
          <w:sz w:val="24"/>
        </w:rPr>
        <w:t>rosea</w:t>
      </w:r>
      <w:proofErr w:type="spellEnd"/>
      <w:r>
        <w:rPr>
          <w:sz w:val="24"/>
        </w:rPr>
        <w:t xml:space="preserve">, </w:t>
      </w:r>
      <w:proofErr w:type="spellStart"/>
      <w:r>
        <w:rPr>
          <w:sz w:val="24"/>
        </w:rPr>
        <w:t>cronic</w:t>
      </w:r>
      <w:proofErr w:type="spellEnd"/>
      <w:r>
        <w:rPr>
          <w:sz w:val="24"/>
        </w:rPr>
        <w:t xml:space="preserve"> dermatitis, and pityriasis rubra pilaris. Usually a biopsy is necessary for the diagnosis but unfortunately these diseases share many histopathological features as well. Another difficulty for the differential diagnosis is that a disease may show the features of another disease at the beginning stage and may have the characteristic features at the following stages. Patients were first evaluated clinically with 12 features. Afterwards, skin samples were taken for the evaluation of 22 histopathological features. The values of the histopathological features are determined by an analysis of the samples under a microscope. </w:t>
      </w:r>
    </w:p>
    <w:p w:rsidR="00A4481C" w:rsidRDefault="008C7210">
      <w:pPr>
        <w:spacing w:after="22"/>
        <w:ind w:left="720"/>
      </w:pPr>
      <w:r>
        <w:rPr>
          <w:sz w:val="24"/>
        </w:rPr>
        <w:t xml:space="preserve"> </w:t>
      </w:r>
    </w:p>
    <w:p w:rsidR="00A4481C" w:rsidRDefault="008C7210">
      <w:pPr>
        <w:spacing w:after="4" w:line="268" w:lineRule="auto"/>
        <w:ind w:left="715" w:hanging="10"/>
      </w:pPr>
      <w:r>
        <w:rPr>
          <w:sz w:val="24"/>
        </w:rPr>
        <w:t xml:space="preserve">In the dataset constructed for this domain, the family history feature has the value 1 if any of these diseases has been observed in the family, and 0 otherwise. The age feature simply represents the age of the patient. Every other feature (clinical and histopathological) was given a degree in the range of 0 to 3. Here, 0 indicates that the feature was not present, 3 indicates the largest amount possible, and 1, 2 indicate the relative intermediate values. </w:t>
      </w:r>
    </w:p>
    <w:p w:rsidR="00A4481C" w:rsidRDefault="008C7210">
      <w:pPr>
        <w:spacing w:after="22"/>
        <w:ind w:left="720"/>
      </w:pPr>
      <w:r>
        <w:rPr>
          <w:sz w:val="24"/>
        </w:rPr>
        <w:t xml:space="preserve"> </w:t>
      </w:r>
    </w:p>
    <w:p w:rsidR="00A4481C" w:rsidRDefault="008C7210">
      <w:pPr>
        <w:spacing w:after="255"/>
        <w:ind w:left="-5" w:hanging="10"/>
      </w:pPr>
      <w:r>
        <w:rPr>
          <w:b/>
          <w:color w:val="2E74B5"/>
          <w:sz w:val="24"/>
        </w:rPr>
        <w:t xml:space="preserve">Attribute Information:  </w:t>
      </w:r>
    </w:p>
    <w:p w:rsidR="00A4481C" w:rsidRDefault="008C7210">
      <w:pPr>
        <w:spacing w:after="4" w:line="268" w:lineRule="auto"/>
        <w:ind w:left="715" w:right="3150" w:hanging="10"/>
      </w:pPr>
      <w:r>
        <w:rPr>
          <w:sz w:val="24"/>
        </w:rPr>
        <w:t xml:space="preserve">Clinical Attributes: (take values 0, 1, 2, 3, unless otherwise indicated) 1: erythema </w:t>
      </w:r>
    </w:p>
    <w:p w:rsidR="00A4481C" w:rsidRDefault="008C7210">
      <w:pPr>
        <w:spacing w:after="4" w:line="268" w:lineRule="auto"/>
        <w:ind w:left="715" w:hanging="10"/>
      </w:pPr>
      <w:r>
        <w:rPr>
          <w:sz w:val="24"/>
        </w:rPr>
        <w:t xml:space="preserve">2: scaling </w:t>
      </w:r>
    </w:p>
    <w:p w:rsidR="00A4481C" w:rsidRDefault="008C7210">
      <w:pPr>
        <w:spacing w:after="4" w:line="268" w:lineRule="auto"/>
        <w:ind w:left="715" w:hanging="10"/>
      </w:pPr>
      <w:r>
        <w:rPr>
          <w:sz w:val="24"/>
        </w:rPr>
        <w:t xml:space="preserve">3: definite borders </w:t>
      </w:r>
    </w:p>
    <w:p w:rsidR="00A4481C" w:rsidRDefault="008C7210">
      <w:pPr>
        <w:spacing w:after="4" w:line="268" w:lineRule="auto"/>
        <w:ind w:left="715" w:hanging="10"/>
      </w:pPr>
      <w:r>
        <w:rPr>
          <w:sz w:val="24"/>
        </w:rPr>
        <w:t xml:space="preserve">4: itching </w:t>
      </w:r>
    </w:p>
    <w:p w:rsidR="00A4481C" w:rsidRDefault="008C7210">
      <w:pPr>
        <w:spacing w:after="4" w:line="268" w:lineRule="auto"/>
        <w:ind w:left="715" w:hanging="10"/>
      </w:pPr>
      <w:r>
        <w:rPr>
          <w:sz w:val="24"/>
        </w:rPr>
        <w:t xml:space="preserve">5: </w:t>
      </w:r>
      <w:proofErr w:type="spellStart"/>
      <w:r>
        <w:rPr>
          <w:sz w:val="24"/>
        </w:rPr>
        <w:t>koebner</w:t>
      </w:r>
      <w:proofErr w:type="spellEnd"/>
      <w:r>
        <w:rPr>
          <w:sz w:val="24"/>
        </w:rPr>
        <w:t xml:space="preserve"> phenomenon </w:t>
      </w:r>
    </w:p>
    <w:p w:rsidR="00A4481C" w:rsidRDefault="008C7210">
      <w:pPr>
        <w:spacing w:after="4" w:line="268" w:lineRule="auto"/>
        <w:ind w:left="715" w:hanging="10"/>
      </w:pPr>
      <w:r>
        <w:rPr>
          <w:sz w:val="24"/>
        </w:rPr>
        <w:t xml:space="preserve">6: polygonal papules </w:t>
      </w:r>
    </w:p>
    <w:p w:rsidR="00A4481C" w:rsidRDefault="008C7210">
      <w:pPr>
        <w:spacing w:after="4" w:line="268" w:lineRule="auto"/>
        <w:ind w:left="715" w:hanging="10"/>
      </w:pPr>
      <w:r>
        <w:rPr>
          <w:sz w:val="24"/>
        </w:rPr>
        <w:t xml:space="preserve">7: follicular papules </w:t>
      </w:r>
    </w:p>
    <w:p w:rsidR="00A4481C" w:rsidRDefault="008C7210">
      <w:pPr>
        <w:spacing w:after="4" w:line="268" w:lineRule="auto"/>
        <w:ind w:left="715" w:hanging="10"/>
      </w:pPr>
      <w:r>
        <w:rPr>
          <w:sz w:val="24"/>
        </w:rPr>
        <w:t xml:space="preserve">8: oral mucosal involvement </w:t>
      </w:r>
    </w:p>
    <w:p w:rsidR="00A4481C" w:rsidRDefault="008C7210">
      <w:pPr>
        <w:spacing w:after="4" w:line="268" w:lineRule="auto"/>
        <w:ind w:left="715" w:hanging="10"/>
      </w:pPr>
      <w:r>
        <w:rPr>
          <w:sz w:val="24"/>
        </w:rPr>
        <w:t xml:space="preserve">9: knee and elbow involvement </w:t>
      </w:r>
    </w:p>
    <w:p w:rsidR="00A4481C" w:rsidRDefault="008C7210">
      <w:pPr>
        <w:spacing w:after="4" w:line="268" w:lineRule="auto"/>
        <w:ind w:left="715" w:hanging="10"/>
      </w:pPr>
      <w:r>
        <w:rPr>
          <w:sz w:val="24"/>
        </w:rPr>
        <w:lastRenderedPageBreak/>
        <w:t xml:space="preserve">10: scalp involvement </w:t>
      </w:r>
    </w:p>
    <w:p w:rsidR="00A4481C" w:rsidRDefault="008C7210">
      <w:pPr>
        <w:spacing w:after="4" w:line="268" w:lineRule="auto"/>
        <w:ind w:left="715" w:hanging="10"/>
      </w:pPr>
      <w:r>
        <w:rPr>
          <w:sz w:val="24"/>
        </w:rPr>
        <w:t xml:space="preserve">11: family history, (0 or 1) </w:t>
      </w:r>
    </w:p>
    <w:p w:rsidR="00A4481C" w:rsidRDefault="008C7210">
      <w:pPr>
        <w:spacing w:after="4" w:line="268" w:lineRule="auto"/>
        <w:ind w:left="715" w:hanging="10"/>
      </w:pPr>
      <w:r>
        <w:rPr>
          <w:sz w:val="24"/>
        </w:rPr>
        <w:t xml:space="preserve">34: Age (linear) </w:t>
      </w:r>
    </w:p>
    <w:p w:rsidR="00A4481C" w:rsidRDefault="008C7210">
      <w:pPr>
        <w:spacing w:after="0"/>
        <w:ind w:left="720"/>
      </w:pPr>
      <w:r>
        <w:rPr>
          <w:sz w:val="24"/>
        </w:rPr>
        <w:t xml:space="preserve"> </w:t>
      </w:r>
    </w:p>
    <w:p w:rsidR="00A4481C" w:rsidRDefault="008C7210">
      <w:pPr>
        <w:spacing w:after="4" w:line="268" w:lineRule="auto"/>
        <w:ind w:left="715" w:hanging="10"/>
      </w:pPr>
      <w:r>
        <w:rPr>
          <w:sz w:val="24"/>
        </w:rPr>
        <w:t xml:space="preserve">Histopathological Attributes: (take values 0, 1, 2, 3) </w:t>
      </w:r>
    </w:p>
    <w:p w:rsidR="00A4481C" w:rsidRDefault="008C7210">
      <w:pPr>
        <w:spacing w:after="4" w:line="268" w:lineRule="auto"/>
        <w:ind w:left="715" w:hanging="10"/>
      </w:pPr>
      <w:r>
        <w:rPr>
          <w:sz w:val="24"/>
        </w:rPr>
        <w:t xml:space="preserve">12: melanin incontinence </w:t>
      </w:r>
    </w:p>
    <w:p w:rsidR="00A4481C" w:rsidRDefault="008C7210">
      <w:pPr>
        <w:spacing w:after="4" w:line="268" w:lineRule="auto"/>
        <w:ind w:left="715" w:hanging="10"/>
      </w:pPr>
      <w:r>
        <w:rPr>
          <w:sz w:val="24"/>
        </w:rPr>
        <w:t xml:space="preserve">13: eosinophils in the infiltrate </w:t>
      </w:r>
    </w:p>
    <w:p w:rsidR="00A4481C" w:rsidRDefault="008C7210">
      <w:pPr>
        <w:spacing w:after="4" w:line="268" w:lineRule="auto"/>
        <w:ind w:left="715" w:hanging="10"/>
      </w:pPr>
      <w:r>
        <w:rPr>
          <w:sz w:val="24"/>
        </w:rPr>
        <w:t xml:space="preserve">14: PNL infiltrate </w:t>
      </w:r>
    </w:p>
    <w:p w:rsidR="00A4481C" w:rsidRDefault="008C7210">
      <w:pPr>
        <w:spacing w:after="4" w:line="268" w:lineRule="auto"/>
        <w:ind w:left="715" w:hanging="10"/>
      </w:pPr>
      <w:r>
        <w:rPr>
          <w:sz w:val="24"/>
        </w:rPr>
        <w:t xml:space="preserve">15: fibrosis of the papillary dermis </w:t>
      </w:r>
    </w:p>
    <w:p w:rsidR="00A4481C" w:rsidRDefault="008C7210">
      <w:pPr>
        <w:spacing w:after="4" w:line="268" w:lineRule="auto"/>
        <w:ind w:left="715" w:hanging="10"/>
      </w:pPr>
      <w:r>
        <w:rPr>
          <w:sz w:val="24"/>
        </w:rPr>
        <w:t xml:space="preserve">16: exocytosis </w:t>
      </w:r>
    </w:p>
    <w:p w:rsidR="00A4481C" w:rsidRDefault="008C7210">
      <w:pPr>
        <w:spacing w:after="4" w:line="268" w:lineRule="auto"/>
        <w:ind w:left="715" w:hanging="10"/>
      </w:pPr>
      <w:r>
        <w:rPr>
          <w:sz w:val="24"/>
        </w:rPr>
        <w:t xml:space="preserve">17: acanthosis </w:t>
      </w:r>
    </w:p>
    <w:p w:rsidR="00A4481C" w:rsidRDefault="008C7210">
      <w:pPr>
        <w:spacing w:after="4" w:line="268" w:lineRule="auto"/>
        <w:ind w:left="715" w:hanging="10"/>
      </w:pPr>
      <w:r>
        <w:rPr>
          <w:sz w:val="24"/>
        </w:rPr>
        <w:t xml:space="preserve">18: hyperkeratosis </w:t>
      </w:r>
    </w:p>
    <w:p w:rsidR="00A4481C" w:rsidRDefault="008C7210">
      <w:pPr>
        <w:spacing w:after="4" w:line="268" w:lineRule="auto"/>
        <w:ind w:left="715" w:hanging="10"/>
      </w:pPr>
      <w:r>
        <w:rPr>
          <w:sz w:val="24"/>
        </w:rPr>
        <w:t xml:space="preserve">19: parakeratosis </w:t>
      </w:r>
    </w:p>
    <w:p w:rsidR="00A4481C" w:rsidRDefault="008C7210">
      <w:pPr>
        <w:spacing w:after="4" w:line="268" w:lineRule="auto"/>
        <w:ind w:left="715" w:hanging="10"/>
      </w:pPr>
      <w:r>
        <w:rPr>
          <w:sz w:val="24"/>
        </w:rPr>
        <w:t xml:space="preserve">20: clubbing of the rete ridges </w:t>
      </w:r>
    </w:p>
    <w:p w:rsidR="00A4481C" w:rsidRDefault="008C7210">
      <w:pPr>
        <w:spacing w:after="4" w:line="268" w:lineRule="auto"/>
        <w:ind w:left="715" w:hanging="10"/>
      </w:pPr>
      <w:r>
        <w:rPr>
          <w:sz w:val="24"/>
        </w:rPr>
        <w:t xml:space="preserve">21: elongation of the rete ridges </w:t>
      </w:r>
    </w:p>
    <w:p w:rsidR="00A4481C" w:rsidRDefault="008C7210">
      <w:pPr>
        <w:spacing w:after="4" w:line="268" w:lineRule="auto"/>
        <w:ind w:left="715" w:hanging="10"/>
      </w:pPr>
      <w:r>
        <w:rPr>
          <w:sz w:val="24"/>
        </w:rPr>
        <w:t xml:space="preserve">22: thinning of the </w:t>
      </w:r>
      <w:proofErr w:type="spellStart"/>
      <w:r>
        <w:rPr>
          <w:sz w:val="24"/>
        </w:rPr>
        <w:t>suprapapillary</w:t>
      </w:r>
      <w:proofErr w:type="spellEnd"/>
      <w:r>
        <w:rPr>
          <w:sz w:val="24"/>
        </w:rPr>
        <w:t xml:space="preserve"> epidermis </w:t>
      </w:r>
    </w:p>
    <w:p w:rsidR="00A4481C" w:rsidRDefault="008C7210">
      <w:pPr>
        <w:spacing w:after="4" w:line="268" w:lineRule="auto"/>
        <w:ind w:left="715" w:hanging="10"/>
      </w:pPr>
      <w:r>
        <w:rPr>
          <w:sz w:val="24"/>
        </w:rPr>
        <w:t xml:space="preserve">23: spongiform pustule </w:t>
      </w:r>
    </w:p>
    <w:p w:rsidR="00A4481C" w:rsidRDefault="008C7210">
      <w:pPr>
        <w:spacing w:after="4" w:line="268" w:lineRule="auto"/>
        <w:ind w:left="715" w:hanging="10"/>
      </w:pPr>
      <w:r>
        <w:rPr>
          <w:sz w:val="24"/>
        </w:rPr>
        <w:t xml:space="preserve">24: </w:t>
      </w:r>
      <w:proofErr w:type="spellStart"/>
      <w:r>
        <w:rPr>
          <w:sz w:val="24"/>
        </w:rPr>
        <w:t>munro</w:t>
      </w:r>
      <w:proofErr w:type="spellEnd"/>
      <w:r>
        <w:rPr>
          <w:sz w:val="24"/>
        </w:rPr>
        <w:t xml:space="preserve"> </w:t>
      </w:r>
      <w:proofErr w:type="spellStart"/>
      <w:r>
        <w:rPr>
          <w:sz w:val="24"/>
        </w:rPr>
        <w:t>microabcess</w:t>
      </w:r>
      <w:proofErr w:type="spellEnd"/>
      <w:r>
        <w:rPr>
          <w:sz w:val="24"/>
        </w:rPr>
        <w:t xml:space="preserve"> </w:t>
      </w:r>
    </w:p>
    <w:p w:rsidR="00A4481C" w:rsidRDefault="008C7210">
      <w:pPr>
        <w:spacing w:after="4" w:line="268" w:lineRule="auto"/>
        <w:ind w:left="715" w:hanging="10"/>
      </w:pPr>
      <w:r>
        <w:rPr>
          <w:sz w:val="24"/>
        </w:rPr>
        <w:t xml:space="preserve">25: focal </w:t>
      </w:r>
      <w:proofErr w:type="spellStart"/>
      <w:r>
        <w:rPr>
          <w:sz w:val="24"/>
        </w:rPr>
        <w:t>hypergranulosis</w:t>
      </w:r>
      <w:proofErr w:type="spellEnd"/>
      <w:r>
        <w:rPr>
          <w:sz w:val="24"/>
        </w:rPr>
        <w:t xml:space="preserve"> </w:t>
      </w:r>
    </w:p>
    <w:p w:rsidR="00A4481C" w:rsidRDefault="008C7210">
      <w:pPr>
        <w:spacing w:after="4" w:line="268" w:lineRule="auto"/>
        <w:ind w:left="715" w:hanging="10"/>
      </w:pPr>
      <w:r>
        <w:rPr>
          <w:sz w:val="24"/>
        </w:rPr>
        <w:t xml:space="preserve">26: disappearance of the granular layer </w:t>
      </w:r>
    </w:p>
    <w:p w:rsidR="00A4481C" w:rsidRDefault="008C7210">
      <w:pPr>
        <w:spacing w:after="4" w:line="268" w:lineRule="auto"/>
        <w:ind w:left="715" w:hanging="10"/>
      </w:pPr>
      <w:r>
        <w:rPr>
          <w:sz w:val="24"/>
        </w:rPr>
        <w:t xml:space="preserve">27: vacuolisation and damage of basal layer </w:t>
      </w:r>
    </w:p>
    <w:p w:rsidR="00A4481C" w:rsidRDefault="008C7210">
      <w:pPr>
        <w:spacing w:after="4" w:line="268" w:lineRule="auto"/>
        <w:ind w:left="715" w:hanging="10"/>
      </w:pPr>
      <w:r>
        <w:rPr>
          <w:sz w:val="24"/>
        </w:rPr>
        <w:t xml:space="preserve">28: spongiosis </w:t>
      </w:r>
    </w:p>
    <w:p w:rsidR="00A4481C" w:rsidRDefault="008C7210">
      <w:pPr>
        <w:spacing w:after="4" w:line="268" w:lineRule="auto"/>
        <w:ind w:left="715" w:hanging="10"/>
      </w:pPr>
      <w:r>
        <w:rPr>
          <w:sz w:val="24"/>
        </w:rPr>
        <w:t xml:space="preserve">29: saw-tooth appearance of </w:t>
      </w:r>
      <w:proofErr w:type="spellStart"/>
      <w:r>
        <w:rPr>
          <w:sz w:val="24"/>
        </w:rPr>
        <w:t>retes</w:t>
      </w:r>
      <w:proofErr w:type="spellEnd"/>
      <w:r>
        <w:rPr>
          <w:sz w:val="24"/>
        </w:rPr>
        <w:t xml:space="preserve"> </w:t>
      </w:r>
    </w:p>
    <w:p w:rsidR="00A4481C" w:rsidRDefault="008C7210">
      <w:pPr>
        <w:spacing w:after="4" w:line="268" w:lineRule="auto"/>
        <w:ind w:left="715" w:hanging="10"/>
      </w:pPr>
      <w:r>
        <w:rPr>
          <w:sz w:val="24"/>
        </w:rPr>
        <w:t xml:space="preserve">30: follicular horn plug </w:t>
      </w:r>
    </w:p>
    <w:p w:rsidR="00A4481C" w:rsidRDefault="008C7210">
      <w:pPr>
        <w:spacing w:after="4" w:line="268" w:lineRule="auto"/>
        <w:ind w:left="715" w:hanging="10"/>
      </w:pPr>
      <w:r>
        <w:rPr>
          <w:sz w:val="24"/>
        </w:rPr>
        <w:t xml:space="preserve">31: perifollicular parakeratosis </w:t>
      </w:r>
    </w:p>
    <w:p w:rsidR="00A4481C" w:rsidRDefault="008C7210">
      <w:pPr>
        <w:spacing w:after="4" w:line="268" w:lineRule="auto"/>
        <w:ind w:left="715" w:hanging="10"/>
      </w:pPr>
      <w:r>
        <w:rPr>
          <w:sz w:val="24"/>
        </w:rPr>
        <w:t xml:space="preserve">32: inflammatory </w:t>
      </w:r>
      <w:proofErr w:type="spellStart"/>
      <w:r>
        <w:rPr>
          <w:sz w:val="24"/>
        </w:rPr>
        <w:t>monoluclear</w:t>
      </w:r>
      <w:proofErr w:type="spellEnd"/>
      <w:r>
        <w:rPr>
          <w:sz w:val="24"/>
        </w:rPr>
        <w:t xml:space="preserve"> </w:t>
      </w:r>
      <w:proofErr w:type="spellStart"/>
      <w:r>
        <w:rPr>
          <w:sz w:val="24"/>
        </w:rPr>
        <w:t>inflitrate</w:t>
      </w:r>
      <w:proofErr w:type="spellEnd"/>
      <w:r>
        <w:rPr>
          <w:sz w:val="24"/>
        </w:rPr>
        <w:t xml:space="preserve"> </w:t>
      </w:r>
    </w:p>
    <w:p w:rsidR="00A4481C" w:rsidRDefault="008C7210">
      <w:pPr>
        <w:spacing w:after="4" w:line="268" w:lineRule="auto"/>
        <w:ind w:left="715" w:hanging="10"/>
      </w:pPr>
      <w:r>
        <w:rPr>
          <w:sz w:val="24"/>
        </w:rPr>
        <w:t xml:space="preserve">33: band-like infiltrate </w:t>
      </w:r>
    </w:p>
    <w:p w:rsidR="00A4481C" w:rsidRDefault="008C7210">
      <w:pPr>
        <w:spacing w:after="4" w:line="268" w:lineRule="auto"/>
        <w:ind w:left="715" w:hanging="10"/>
      </w:pPr>
      <w:r>
        <w:rPr>
          <w:sz w:val="24"/>
        </w:rPr>
        <w:t xml:space="preserve">35:class label </w:t>
      </w:r>
    </w:p>
    <w:p w:rsidR="00A4481C" w:rsidRDefault="008C7210">
      <w:pPr>
        <w:spacing w:after="13"/>
        <w:ind w:left="720"/>
      </w:pPr>
      <w:r>
        <w:rPr>
          <w:sz w:val="24"/>
        </w:rPr>
        <w:t xml:space="preserve"> </w:t>
      </w:r>
    </w:p>
    <w:p w:rsidR="00A4481C" w:rsidRDefault="008C7210">
      <w:pPr>
        <w:pStyle w:val="Heading1"/>
        <w:ind w:left="355"/>
      </w:pPr>
      <w:r>
        <w:t>1.</w:t>
      </w:r>
      <w:r>
        <w:rPr>
          <w:rFonts w:ascii="Arial" w:eastAsia="Arial" w:hAnsi="Arial" w:cs="Arial"/>
        </w:rPr>
        <w:t xml:space="preserve"> </w:t>
      </w:r>
      <w:r>
        <w:t xml:space="preserve">Data Understanding (5 marks) </w:t>
      </w:r>
    </w:p>
    <w:p w:rsidR="00A4481C" w:rsidRDefault="008C7210">
      <w:pPr>
        <w:numPr>
          <w:ilvl w:val="0"/>
          <w:numId w:val="2"/>
        </w:numPr>
        <w:spacing w:after="11" w:line="268" w:lineRule="auto"/>
        <w:ind w:hanging="360"/>
      </w:pPr>
      <w:r>
        <w:rPr>
          <w:color w:val="222222"/>
          <w:sz w:val="24"/>
        </w:rPr>
        <w:t xml:space="preserve">Read the dataset (tab, csv, </w:t>
      </w:r>
      <w:proofErr w:type="spellStart"/>
      <w:r>
        <w:rPr>
          <w:color w:val="222222"/>
          <w:sz w:val="24"/>
        </w:rPr>
        <w:t>xls</w:t>
      </w:r>
      <w:proofErr w:type="spellEnd"/>
      <w:r>
        <w:rPr>
          <w:color w:val="222222"/>
          <w:sz w:val="24"/>
        </w:rPr>
        <w:t xml:space="preserve">, txt, inbuilt dataset). What are the number of rows and no. of cols </w:t>
      </w:r>
    </w:p>
    <w:p w:rsidR="00A4481C" w:rsidRDefault="008C7210">
      <w:pPr>
        <w:spacing w:after="47" w:line="268" w:lineRule="auto"/>
        <w:ind w:left="1450" w:hanging="10"/>
      </w:pPr>
      <w:r>
        <w:rPr>
          <w:color w:val="222222"/>
          <w:sz w:val="24"/>
        </w:rPr>
        <w:t xml:space="preserve">&amp; types of variables (continuous, categorical etc.)? (1 MARK) </w:t>
      </w:r>
    </w:p>
    <w:p w:rsidR="00A4481C" w:rsidRDefault="008C7210">
      <w:pPr>
        <w:numPr>
          <w:ilvl w:val="0"/>
          <w:numId w:val="2"/>
        </w:numPr>
        <w:spacing w:after="47" w:line="268" w:lineRule="auto"/>
        <w:ind w:hanging="360"/>
      </w:pPr>
      <w:r>
        <w:rPr>
          <w:color w:val="222222"/>
          <w:sz w:val="24"/>
        </w:rPr>
        <w:t xml:space="preserve">Calculate five-point summary for numerical variables (1 MARK) </w:t>
      </w:r>
    </w:p>
    <w:p w:rsidR="00A4481C" w:rsidRDefault="008C7210">
      <w:pPr>
        <w:numPr>
          <w:ilvl w:val="0"/>
          <w:numId w:val="2"/>
        </w:numPr>
        <w:spacing w:after="47" w:line="268" w:lineRule="auto"/>
        <w:ind w:hanging="360"/>
      </w:pPr>
      <w:r>
        <w:rPr>
          <w:color w:val="222222"/>
          <w:sz w:val="24"/>
        </w:rPr>
        <w:t xml:space="preserve">Summarize observations for categorical variables – no. of categories, % observations in each category.  (1 MARK) </w:t>
      </w:r>
    </w:p>
    <w:p w:rsidR="00A4481C" w:rsidRDefault="008C7210">
      <w:pPr>
        <w:numPr>
          <w:ilvl w:val="0"/>
          <w:numId w:val="2"/>
        </w:numPr>
        <w:spacing w:after="47" w:line="268" w:lineRule="auto"/>
        <w:ind w:hanging="360"/>
      </w:pPr>
      <w:r>
        <w:rPr>
          <w:color w:val="222222"/>
          <w:sz w:val="24"/>
        </w:rPr>
        <w:t xml:space="preserve">Generate the covariance and correlation tables for the data (1 MARK) </w:t>
      </w:r>
    </w:p>
    <w:p w:rsidR="00A4481C" w:rsidRDefault="008C7210">
      <w:pPr>
        <w:numPr>
          <w:ilvl w:val="0"/>
          <w:numId w:val="2"/>
        </w:numPr>
        <w:spacing w:after="11" w:line="268" w:lineRule="auto"/>
        <w:ind w:hanging="360"/>
      </w:pPr>
      <w:r>
        <w:rPr>
          <w:color w:val="222222"/>
          <w:sz w:val="24"/>
        </w:rPr>
        <w:t xml:space="preserve">Create Visualization plots to find the relationship amongst the variables. (1 MARK) </w:t>
      </w:r>
    </w:p>
    <w:p w:rsidR="00A4481C" w:rsidRDefault="008C7210">
      <w:pPr>
        <w:spacing w:after="0"/>
        <w:ind w:left="1440"/>
      </w:pPr>
      <w:r>
        <w:rPr>
          <w:color w:val="222222"/>
          <w:sz w:val="24"/>
        </w:rPr>
        <w:t xml:space="preserve"> </w:t>
      </w:r>
    </w:p>
    <w:p w:rsidR="00A4481C" w:rsidRDefault="008C7210">
      <w:pPr>
        <w:spacing w:after="58"/>
        <w:ind w:left="355" w:hanging="10"/>
      </w:pPr>
      <w:r>
        <w:rPr>
          <w:b/>
          <w:color w:val="222222"/>
          <w:sz w:val="24"/>
        </w:rPr>
        <w:t>2.</w:t>
      </w:r>
      <w:r>
        <w:rPr>
          <w:rFonts w:ascii="Arial" w:eastAsia="Arial" w:hAnsi="Arial" w:cs="Arial"/>
          <w:b/>
          <w:color w:val="222222"/>
          <w:sz w:val="24"/>
        </w:rPr>
        <w:t xml:space="preserve"> </w:t>
      </w:r>
      <w:r>
        <w:rPr>
          <w:b/>
          <w:color w:val="222222"/>
          <w:sz w:val="24"/>
        </w:rPr>
        <w:t xml:space="preserve">Data Preparation (5 marks) </w:t>
      </w:r>
    </w:p>
    <w:p w:rsidR="00A4481C" w:rsidRDefault="008C7210">
      <w:pPr>
        <w:spacing w:after="11" w:line="268" w:lineRule="auto"/>
        <w:ind w:left="1075" w:hanging="10"/>
      </w:pPr>
      <w:r>
        <w:rPr>
          <w:color w:val="222222"/>
          <w:sz w:val="24"/>
        </w:rPr>
        <w:lastRenderedPageBreak/>
        <w:t>a.</w:t>
      </w:r>
      <w:r>
        <w:rPr>
          <w:rFonts w:ascii="Arial" w:eastAsia="Arial" w:hAnsi="Arial" w:cs="Arial"/>
          <w:color w:val="222222"/>
          <w:sz w:val="24"/>
        </w:rPr>
        <w:t xml:space="preserve"> </w:t>
      </w:r>
      <w:r>
        <w:rPr>
          <w:color w:val="222222"/>
          <w:sz w:val="24"/>
        </w:rPr>
        <w:t xml:space="preserve">Scale / Transform/ clean the data so that it is suitable for model building. </w:t>
      </w:r>
    </w:p>
    <w:p w:rsidR="00A4481C" w:rsidRDefault="008C7210">
      <w:pPr>
        <w:spacing w:after="59"/>
        <w:ind w:left="1440"/>
      </w:pPr>
      <w:r>
        <w:rPr>
          <w:b/>
          <w:color w:val="222222"/>
          <w:sz w:val="24"/>
        </w:rPr>
        <w:t xml:space="preserve"> </w:t>
      </w:r>
    </w:p>
    <w:p w:rsidR="00A4481C" w:rsidRDefault="008C7210">
      <w:pPr>
        <w:pStyle w:val="Heading1"/>
        <w:ind w:left="355"/>
      </w:pPr>
      <w:r>
        <w:t>3.</w:t>
      </w:r>
      <w:r>
        <w:rPr>
          <w:rFonts w:ascii="Arial" w:eastAsia="Arial" w:hAnsi="Arial" w:cs="Arial"/>
        </w:rPr>
        <w:t xml:space="preserve"> </w:t>
      </w:r>
      <w:r>
        <w:t xml:space="preserve">Dimensionality Reduction (15 marks) </w:t>
      </w:r>
    </w:p>
    <w:p w:rsidR="00A4481C" w:rsidRDefault="008C7210">
      <w:pPr>
        <w:numPr>
          <w:ilvl w:val="0"/>
          <w:numId w:val="3"/>
        </w:numPr>
        <w:spacing w:after="47" w:line="268" w:lineRule="auto"/>
        <w:ind w:hanging="360"/>
      </w:pPr>
      <w:r>
        <w:rPr>
          <w:color w:val="222222"/>
          <w:sz w:val="24"/>
        </w:rPr>
        <w:t xml:space="preserve">How will you decide when to apply PCA based on the correlation? (2 marks)  </w:t>
      </w:r>
    </w:p>
    <w:p w:rsidR="00A4481C" w:rsidRDefault="008C7210">
      <w:pPr>
        <w:numPr>
          <w:ilvl w:val="0"/>
          <w:numId w:val="3"/>
        </w:numPr>
        <w:spacing w:after="47" w:line="268" w:lineRule="auto"/>
        <w:ind w:hanging="360"/>
      </w:pPr>
      <w:r>
        <w:rPr>
          <w:color w:val="222222"/>
          <w:sz w:val="24"/>
        </w:rPr>
        <w:t xml:space="preserve">Apply PCA on the above dataset and determine the number of PCA components to be used so that 90% of the variance in data is explained by the same. (7 marks) </w:t>
      </w:r>
    </w:p>
    <w:p w:rsidR="00A4481C" w:rsidRDefault="008C7210">
      <w:pPr>
        <w:numPr>
          <w:ilvl w:val="0"/>
          <w:numId w:val="3"/>
        </w:numPr>
        <w:spacing w:after="47" w:line="268" w:lineRule="auto"/>
        <w:ind w:hanging="360"/>
      </w:pPr>
      <w:r>
        <w:rPr>
          <w:color w:val="222222"/>
          <w:sz w:val="24"/>
        </w:rPr>
        <w:t xml:space="preserve">Build a data frame with the principal components and check if multi-collinearity still exists. </w:t>
      </w:r>
      <w:proofErr w:type="gramStart"/>
      <w:r>
        <w:rPr>
          <w:color w:val="222222"/>
          <w:sz w:val="24"/>
        </w:rPr>
        <w:t>( 2</w:t>
      </w:r>
      <w:proofErr w:type="gramEnd"/>
      <w:r>
        <w:rPr>
          <w:color w:val="222222"/>
          <w:sz w:val="24"/>
        </w:rPr>
        <w:t xml:space="preserve">  marks). </w:t>
      </w:r>
    </w:p>
    <w:p w:rsidR="00A4481C" w:rsidRDefault="008C7210">
      <w:pPr>
        <w:numPr>
          <w:ilvl w:val="0"/>
          <w:numId w:val="3"/>
        </w:numPr>
        <w:spacing w:after="47" w:line="268" w:lineRule="auto"/>
        <w:ind w:hanging="360"/>
      </w:pPr>
      <w:r>
        <w:rPr>
          <w:color w:val="222222"/>
          <w:sz w:val="24"/>
        </w:rPr>
        <w:t xml:space="preserve">Visualize the spread of data across PCA components. (2 marks) </w:t>
      </w:r>
    </w:p>
    <w:p w:rsidR="00A4481C" w:rsidRDefault="008C7210">
      <w:pPr>
        <w:numPr>
          <w:ilvl w:val="0"/>
          <w:numId w:val="3"/>
        </w:numPr>
        <w:spacing w:after="11" w:line="268" w:lineRule="auto"/>
        <w:ind w:hanging="360"/>
      </w:pPr>
      <w:r>
        <w:rPr>
          <w:color w:val="222222"/>
          <w:sz w:val="24"/>
        </w:rPr>
        <w:t xml:space="preserve">Check for outliers in the PCA data and treat the same. (2 marks) </w:t>
      </w:r>
    </w:p>
    <w:p w:rsidR="00A4481C" w:rsidRDefault="008C7210">
      <w:pPr>
        <w:spacing w:after="57"/>
        <w:ind w:left="720"/>
      </w:pPr>
      <w:r>
        <w:rPr>
          <w:color w:val="222222"/>
          <w:sz w:val="24"/>
        </w:rPr>
        <w:t xml:space="preserve"> </w:t>
      </w:r>
    </w:p>
    <w:p w:rsidR="00A4481C" w:rsidRDefault="008C7210">
      <w:pPr>
        <w:spacing w:after="22"/>
        <w:ind w:left="355" w:hanging="10"/>
      </w:pPr>
      <w:r>
        <w:rPr>
          <w:b/>
          <w:color w:val="222222"/>
          <w:sz w:val="24"/>
        </w:rPr>
        <w:t>4.</w:t>
      </w:r>
      <w:r>
        <w:rPr>
          <w:rFonts w:ascii="Arial" w:eastAsia="Arial" w:hAnsi="Arial" w:cs="Arial"/>
          <w:b/>
          <w:color w:val="222222"/>
          <w:sz w:val="24"/>
        </w:rPr>
        <w:t xml:space="preserve"> </w:t>
      </w:r>
      <w:r>
        <w:rPr>
          <w:b/>
          <w:color w:val="222222"/>
          <w:sz w:val="24"/>
        </w:rPr>
        <w:t xml:space="preserve">Clustering: Use PCA dimensions to cluster the data. Apply K-means and Agglomerative clustering.  </w:t>
      </w:r>
    </w:p>
    <w:p w:rsidR="00A4481C" w:rsidRDefault="008C7210">
      <w:pPr>
        <w:pStyle w:val="Heading1"/>
        <w:spacing w:after="20"/>
        <w:ind w:left="730"/>
      </w:pPr>
      <w:r>
        <w:t xml:space="preserve">(30 Marks) </w:t>
      </w:r>
    </w:p>
    <w:p w:rsidR="00A4481C" w:rsidRDefault="008C7210">
      <w:pPr>
        <w:spacing w:after="47" w:line="268" w:lineRule="auto"/>
        <w:ind w:left="730" w:hanging="10"/>
      </w:pPr>
      <w:r>
        <w:rPr>
          <w:color w:val="222222"/>
          <w:sz w:val="24"/>
        </w:rPr>
        <w:t xml:space="preserve">Some pointers which would help you, but don’t be limited by these </w:t>
      </w:r>
    </w:p>
    <w:p w:rsidR="00A4481C" w:rsidRDefault="008C7210">
      <w:pPr>
        <w:numPr>
          <w:ilvl w:val="0"/>
          <w:numId w:val="4"/>
        </w:numPr>
        <w:spacing w:after="47" w:line="268" w:lineRule="auto"/>
        <w:ind w:hanging="360"/>
      </w:pPr>
      <w:r>
        <w:rPr>
          <w:color w:val="222222"/>
          <w:sz w:val="24"/>
        </w:rPr>
        <w:t xml:space="preserve">Find the optimal K Value. (3 marks) </w:t>
      </w:r>
    </w:p>
    <w:p w:rsidR="00A4481C" w:rsidRDefault="008C7210">
      <w:pPr>
        <w:numPr>
          <w:ilvl w:val="0"/>
          <w:numId w:val="4"/>
        </w:numPr>
        <w:spacing w:after="47" w:line="268" w:lineRule="auto"/>
        <w:ind w:hanging="360"/>
      </w:pPr>
      <w:r>
        <w:rPr>
          <w:color w:val="222222"/>
          <w:sz w:val="24"/>
        </w:rPr>
        <w:t xml:space="preserve">Apply Clustering and visualize the spread of data (20 marks) </w:t>
      </w:r>
    </w:p>
    <w:p w:rsidR="00A4481C" w:rsidRDefault="008C7210">
      <w:pPr>
        <w:numPr>
          <w:ilvl w:val="0"/>
          <w:numId w:val="4"/>
        </w:numPr>
        <w:spacing w:after="47" w:line="268" w:lineRule="auto"/>
        <w:ind w:hanging="360"/>
      </w:pPr>
      <w:r>
        <w:rPr>
          <w:color w:val="222222"/>
          <w:sz w:val="24"/>
        </w:rPr>
        <w:t xml:space="preserve">Evaluate the clusters formed using appropriate metrics (inertia, silhouette score) to support the model built and compare both the models. (5 marks) </w:t>
      </w:r>
    </w:p>
    <w:p w:rsidR="00A4481C" w:rsidRDefault="008C7210">
      <w:pPr>
        <w:numPr>
          <w:ilvl w:val="0"/>
          <w:numId w:val="4"/>
        </w:numPr>
        <w:spacing w:after="11" w:line="268" w:lineRule="auto"/>
        <w:ind w:hanging="360"/>
      </w:pPr>
      <w:r>
        <w:rPr>
          <w:color w:val="222222"/>
          <w:sz w:val="24"/>
        </w:rPr>
        <w:t xml:space="preserve">Using best attributes based on the relationship between them, plot the clusters. (2 marks) </w:t>
      </w:r>
    </w:p>
    <w:p w:rsidR="00A4481C" w:rsidRDefault="008C7210">
      <w:pPr>
        <w:spacing w:after="59"/>
        <w:ind w:left="1440"/>
      </w:pPr>
      <w:r>
        <w:rPr>
          <w:color w:val="222222"/>
          <w:sz w:val="24"/>
        </w:rPr>
        <w:t xml:space="preserve"> </w:t>
      </w:r>
    </w:p>
    <w:p w:rsidR="00CD28E3" w:rsidRDefault="008C7210">
      <w:pPr>
        <w:pStyle w:val="Heading1"/>
        <w:ind w:left="355"/>
      </w:pPr>
      <w:r>
        <w:t>5.</w:t>
      </w:r>
      <w:r>
        <w:rPr>
          <w:rFonts w:ascii="Arial" w:eastAsia="Arial" w:hAnsi="Arial" w:cs="Arial"/>
        </w:rPr>
        <w:t xml:space="preserve"> </w:t>
      </w:r>
      <w:r>
        <w:t>Use the cluster labels from the best method above and interpret the clusters formed. (5 marks)</w:t>
      </w:r>
    </w:p>
    <w:p w:rsidR="00CD28E3" w:rsidRDefault="00CD28E3">
      <w:pPr>
        <w:pStyle w:val="Heading1"/>
        <w:ind w:left="355"/>
      </w:pPr>
    </w:p>
    <w:p w:rsidR="00A4481C" w:rsidRDefault="008C7210">
      <w:pPr>
        <w:pStyle w:val="Heading1"/>
        <w:ind w:left="355"/>
      </w:pPr>
      <w:bookmarkStart w:id="0" w:name="_GoBack"/>
      <w:bookmarkEnd w:id="0"/>
      <w:r>
        <w:t>6.</w:t>
      </w:r>
      <w:r>
        <w:rPr>
          <w:rFonts w:ascii="Arial" w:eastAsia="Arial" w:hAnsi="Arial" w:cs="Arial"/>
        </w:rPr>
        <w:t xml:space="preserve"> </w:t>
      </w:r>
      <w:r>
        <w:t xml:space="preserve">Summarize as follows (10 marks) </w:t>
      </w:r>
    </w:p>
    <w:p w:rsidR="00A4481C" w:rsidRDefault="008C7210">
      <w:pPr>
        <w:numPr>
          <w:ilvl w:val="0"/>
          <w:numId w:val="5"/>
        </w:numPr>
        <w:spacing w:after="47" w:line="268" w:lineRule="auto"/>
        <w:ind w:hanging="360"/>
      </w:pPr>
      <w:r>
        <w:rPr>
          <w:color w:val="222222"/>
          <w:sz w:val="24"/>
        </w:rPr>
        <w:t xml:space="preserve">Summarize the overall fit of the model. Compare all the clustering models built and list down the measures to prove that it is a good model. </w:t>
      </w:r>
    </w:p>
    <w:p w:rsidR="00A4481C" w:rsidRDefault="008C7210">
      <w:pPr>
        <w:numPr>
          <w:ilvl w:val="0"/>
          <w:numId w:val="5"/>
        </w:numPr>
        <w:spacing w:after="47" w:line="268" w:lineRule="auto"/>
        <w:ind w:hanging="360"/>
      </w:pPr>
      <w:r>
        <w:rPr>
          <w:color w:val="222222"/>
          <w:sz w:val="24"/>
        </w:rPr>
        <w:t xml:space="preserve">Write down a business interpretation/explanation of the model. (List the countries to be focused on). </w:t>
      </w:r>
    </w:p>
    <w:p w:rsidR="00A4481C" w:rsidRDefault="008C7210">
      <w:pPr>
        <w:numPr>
          <w:ilvl w:val="0"/>
          <w:numId w:val="5"/>
        </w:numPr>
        <w:spacing w:after="47" w:line="268" w:lineRule="auto"/>
        <w:ind w:hanging="360"/>
      </w:pPr>
      <w:r>
        <w:rPr>
          <w:color w:val="222222"/>
          <w:sz w:val="24"/>
        </w:rPr>
        <w:t xml:space="preserve">What are the key risks to your results and interpretation? </w:t>
      </w:r>
    </w:p>
    <w:sectPr w:rsidR="00A4481C">
      <w:headerReference w:type="even" r:id="rId7"/>
      <w:headerReference w:type="default" r:id="rId8"/>
      <w:footerReference w:type="even" r:id="rId9"/>
      <w:footerReference w:type="default" r:id="rId10"/>
      <w:headerReference w:type="first" r:id="rId11"/>
      <w:footerReference w:type="first" r:id="rId12"/>
      <w:pgSz w:w="12240" w:h="15840"/>
      <w:pgMar w:top="1572" w:right="717" w:bottom="1074"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F71" w:rsidRDefault="00A26F71">
      <w:pPr>
        <w:spacing w:after="0" w:line="240" w:lineRule="auto"/>
      </w:pPr>
      <w:r>
        <w:separator/>
      </w:r>
    </w:p>
  </w:endnote>
  <w:endnote w:type="continuationSeparator" w:id="0">
    <w:p w:rsidR="00A26F71" w:rsidRDefault="00A2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1C" w:rsidRDefault="008C7210">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4123" name="Group 412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4313" name="Shape 43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 name="Shape 431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 name="Shape 431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3" style="width:564.1pt;height:0.47998pt;position:absolute;mso-position-horizontal-relative:page;mso-position-horizontal:absolute;margin-left:24pt;mso-position-vertical-relative:page;margin-top:767.616pt;" coordsize="71640,60">
              <v:shape id="Shape 4316" style="position:absolute;width:91;height:91;left:0;top:0;" coordsize="9144,9144" path="m0,0l9144,0l9144,9144l0,9144l0,0">
                <v:stroke weight="0pt" endcap="flat" joinstyle="miter" miterlimit="10" on="false" color="#000000" opacity="0"/>
                <v:fill on="true" color="#000000"/>
              </v:shape>
              <v:shape id="Shape 4317" style="position:absolute;width:71518;height:91;left:60;top:0;" coordsize="7151878,9144" path="m0,0l7151878,0l7151878,9144l0,9144l0,0">
                <v:stroke weight="0pt" endcap="flat" joinstyle="miter" miterlimit="10" on="false" color="#000000" opacity="0"/>
                <v:fill on="true" color="#000000"/>
              </v:shape>
              <v:shape id="Shape 431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1C" w:rsidRDefault="008C7210">
    <w:pPr>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4094" name="Group 409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4307" name="Shape 43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 name="Shape 430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 name="Shape 430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4" style="width:564.1pt;height:0.47998pt;position:absolute;mso-position-horizontal-relative:page;mso-position-horizontal:absolute;margin-left:24pt;mso-position-vertical-relative:page;margin-top:767.616pt;" coordsize="71640,60">
              <v:shape id="Shape 4310" style="position:absolute;width:91;height:91;left:0;top:0;" coordsize="9144,9144" path="m0,0l9144,0l9144,9144l0,9144l0,0">
                <v:stroke weight="0pt" endcap="flat" joinstyle="miter" miterlimit="10" on="false" color="#000000" opacity="0"/>
                <v:fill on="true" color="#000000"/>
              </v:shape>
              <v:shape id="Shape 4311" style="position:absolute;width:71518;height:91;left:60;top:0;" coordsize="7151878,9144" path="m0,0l7151878,0l7151878,9144l0,9144l0,0">
                <v:stroke weight="0pt" endcap="flat" joinstyle="miter" miterlimit="10" on="false" color="#000000" opacity="0"/>
                <v:fill on="true" color="#000000"/>
              </v:shape>
              <v:shape id="Shape 431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1C" w:rsidRDefault="008C7210">
    <w:pPr>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4065" name="Group 406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4301" name="Shape 43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2" name="Shape 430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3" name="Shape 430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5" style="width:564.1pt;height:0.47998pt;position:absolute;mso-position-horizontal-relative:page;mso-position-horizontal:absolute;margin-left:24pt;mso-position-vertical-relative:page;margin-top:767.616pt;" coordsize="71640,60">
              <v:shape id="Shape 4304" style="position:absolute;width:91;height:91;left:0;top:0;" coordsize="9144,9144" path="m0,0l9144,0l9144,9144l0,9144l0,0">
                <v:stroke weight="0pt" endcap="flat" joinstyle="miter" miterlimit="10" on="false" color="#000000" opacity="0"/>
                <v:fill on="true" color="#000000"/>
              </v:shape>
              <v:shape id="Shape 4305" style="position:absolute;width:71518;height:91;left:60;top:0;" coordsize="7151878,9144" path="m0,0l7151878,0l7151878,9144l0,9144l0,0">
                <v:stroke weight="0pt" endcap="flat" joinstyle="miter" miterlimit="10" on="false" color="#000000" opacity="0"/>
                <v:fill on="true" color="#000000"/>
              </v:shape>
              <v:shape id="Shape 430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F71" w:rsidRDefault="00A26F71">
      <w:pPr>
        <w:spacing w:after="0" w:line="240" w:lineRule="auto"/>
      </w:pPr>
      <w:r>
        <w:separator/>
      </w:r>
    </w:p>
  </w:footnote>
  <w:footnote w:type="continuationSeparator" w:id="0">
    <w:p w:rsidR="00A26F71" w:rsidRDefault="00A2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1C" w:rsidRDefault="008C7210">
    <w:pPr>
      <w:shd w:val="clear" w:color="auto" w:fill="ED7D31"/>
      <w:spacing w:after="0"/>
      <w:ind w:right="1"/>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4106" name="Group 410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4291" name="Shape 42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2" name="Shape 429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 name="Shape 429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6" style="width:564.1pt;height:0.47998pt;position:absolute;mso-position-horizontal-relative:page;mso-position-horizontal:absolute;margin-left:24pt;mso-position-vertical-relative:page;margin-top:24pt;" coordsize="71640,60">
              <v:shape id="Shape 4294" style="position:absolute;width:91;height:91;left:0;top:0;" coordsize="9144,9144" path="m0,0l9144,0l9144,9144l0,9144l0,0">
                <v:stroke weight="0pt" endcap="flat" joinstyle="miter" miterlimit="10" on="false" color="#000000" opacity="0"/>
                <v:fill on="true" color="#000000"/>
              </v:shape>
              <v:shape id="Shape 4295" style="position:absolute;width:71518;height:91;left:60;top:0;" coordsize="7151878,9144" path="m0,0l7151878,0l7151878,9144l0,9144l0,0">
                <v:stroke weight="0pt" endcap="flat" joinstyle="miter" miterlimit="10" on="false" color="#000000" opacity="0"/>
                <v:fill on="true" color="#000000"/>
              </v:shape>
              <v:shape id="Shape 429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b/>
        <w:color w:val="FFFFFF"/>
        <w:sz w:val="32"/>
      </w:rPr>
      <w:t xml:space="preserve">UNSUPERVISED LEARNING </w:t>
    </w:r>
  </w:p>
  <w:p w:rsidR="00A4481C" w:rsidRDefault="008C7210">
    <w:pPr>
      <w:spacing w:after="0"/>
    </w:pPr>
    <w:r>
      <w:t xml:space="preserve"> </w:t>
    </w:r>
  </w:p>
  <w:p w:rsidR="00A4481C" w:rsidRDefault="008C721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4113" name="Group 411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pic:pic xmlns:pic="http://schemas.openxmlformats.org/drawingml/2006/picture">
                      <pic:nvPicPr>
                        <pic:cNvPr id="4116" name="Picture 4116"/>
                        <pic:cNvPicPr/>
                      </pic:nvPicPr>
                      <pic:blipFill>
                        <a:blip r:embed="rId1"/>
                        <a:stretch>
                          <a:fillRect/>
                        </a:stretch>
                      </pic:blipFill>
                      <pic:spPr>
                        <a:xfrm>
                          <a:off x="2024380" y="3262300"/>
                          <a:ext cx="3112135" cy="3251835"/>
                        </a:xfrm>
                        <a:prstGeom prst="rect">
                          <a:avLst/>
                        </a:prstGeom>
                      </pic:spPr>
                    </pic:pic>
                    <wps:wsp>
                      <wps:cNvPr id="4297" name="Shape 429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13" style="width:564.1pt;height:743.14pt;position:absolute;z-index:-2147483648;mso-position-horizontal-relative:page;mso-position-horizontal:absolute;margin-left:24pt;mso-position-vertical-relative:page;margin-top:24.476pt;" coordsize="71640,94378">
              <v:shape id="Picture 4116" style="position:absolute;width:31121;height:32518;left:20243;top:32623;" filled="f">
                <v:imagedata r:id="rId7"/>
              </v:shape>
              <v:shape id="Shape 4299" style="position:absolute;width:91;height:94378;left:0;top:0;" coordsize="9144,9437878" path="m0,0l9144,0l9144,9437878l0,9437878l0,0">
                <v:stroke weight="0pt" endcap="flat" joinstyle="miter" miterlimit="10" on="false" color="#000000" opacity="0"/>
                <v:fill on="true" color="#000000"/>
              </v:shape>
              <v:shape id="Shape 4300"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1C" w:rsidRDefault="008C7210">
    <w:pPr>
      <w:shd w:val="clear" w:color="auto" w:fill="ED7D31"/>
      <w:spacing w:after="0"/>
      <w:ind w:right="1"/>
      <w:jc w:val="center"/>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4077" name="Group 407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4281" name="Shape 4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2" name="Shape 428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 name="Shape 428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7" style="width:564.1pt;height:0.47998pt;position:absolute;mso-position-horizontal-relative:page;mso-position-horizontal:absolute;margin-left:24pt;mso-position-vertical-relative:page;margin-top:24pt;" coordsize="71640,60">
              <v:shape id="Shape 4284" style="position:absolute;width:91;height:91;left:0;top:0;" coordsize="9144,9144" path="m0,0l9144,0l9144,9144l0,9144l0,0">
                <v:stroke weight="0pt" endcap="flat" joinstyle="miter" miterlimit="10" on="false" color="#000000" opacity="0"/>
                <v:fill on="true" color="#000000"/>
              </v:shape>
              <v:shape id="Shape 4285" style="position:absolute;width:71518;height:91;left:60;top:0;" coordsize="7151878,9144" path="m0,0l7151878,0l7151878,9144l0,9144l0,0">
                <v:stroke weight="0pt" endcap="flat" joinstyle="miter" miterlimit="10" on="false" color="#000000" opacity="0"/>
                <v:fill on="true" color="#000000"/>
              </v:shape>
              <v:shape id="Shape 428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b/>
        <w:color w:val="FFFFFF"/>
        <w:sz w:val="32"/>
      </w:rPr>
      <w:t xml:space="preserve">UNSUPERVISED LEARNING </w:t>
    </w:r>
  </w:p>
  <w:p w:rsidR="00A4481C" w:rsidRDefault="008C7210">
    <w:pPr>
      <w:spacing w:after="0"/>
    </w:pPr>
    <w:r>
      <w:t xml:space="preserve"> </w:t>
    </w:r>
  </w:p>
  <w:p w:rsidR="00A4481C" w:rsidRDefault="008C721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4084" name="Group 408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pic:pic xmlns:pic="http://schemas.openxmlformats.org/drawingml/2006/picture">
                      <pic:nvPicPr>
                        <pic:cNvPr id="4087" name="Picture 4087"/>
                        <pic:cNvPicPr/>
                      </pic:nvPicPr>
                      <pic:blipFill>
                        <a:blip r:embed="rId1"/>
                        <a:stretch>
                          <a:fillRect/>
                        </a:stretch>
                      </pic:blipFill>
                      <pic:spPr>
                        <a:xfrm>
                          <a:off x="2024380" y="3262300"/>
                          <a:ext cx="3112135" cy="3251835"/>
                        </a:xfrm>
                        <a:prstGeom prst="rect">
                          <a:avLst/>
                        </a:prstGeom>
                      </pic:spPr>
                    </pic:pic>
                    <wps:wsp>
                      <wps:cNvPr id="4287" name="Shape 428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8" name="Shape 428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84" style="width:564.1pt;height:743.14pt;position:absolute;z-index:-2147483648;mso-position-horizontal-relative:page;mso-position-horizontal:absolute;margin-left:24pt;mso-position-vertical-relative:page;margin-top:24.476pt;" coordsize="71640,94378">
              <v:shape id="Picture 4087" style="position:absolute;width:31121;height:32518;left:20243;top:32623;" filled="f">
                <v:imagedata r:id="rId7"/>
              </v:shape>
              <v:shape id="Shape 4289" style="position:absolute;width:91;height:94378;left:0;top:0;" coordsize="9144,9437878" path="m0,0l9144,0l9144,9437878l0,9437878l0,0">
                <v:stroke weight="0pt" endcap="flat" joinstyle="miter" miterlimit="10" on="false" color="#000000" opacity="0"/>
                <v:fill on="true" color="#000000"/>
              </v:shape>
              <v:shape id="Shape 4290"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1C" w:rsidRDefault="008C7210">
    <w:pPr>
      <w:shd w:val="clear" w:color="auto" w:fill="ED7D31"/>
      <w:spacing w:after="0"/>
      <w:ind w:right="1"/>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4048" name="Group 404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4271" name="Shape 42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 name="Shape 427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3" name="Shape 427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48" style="width:564.1pt;height:0.47998pt;position:absolute;mso-position-horizontal-relative:page;mso-position-horizontal:absolute;margin-left:24pt;mso-position-vertical-relative:page;margin-top:24pt;" coordsize="71640,60">
              <v:shape id="Shape 4274" style="position:absolute;width:91;height:91;left:0;top:0;" coordsize="9144,9144" path="m0,0l9144,0l9144,9144l0,9144l0,0">
                <v:stroke weight="0pt" endcap="flat" joinstyle="miter" miterlimit="10" on="false" color="#000000" opacity="0"/>
                <v:fill on="true" color="#000000"/>
              </v:shape>
              <v:shape id="Shape 4275" style="position:absolute;width:71518;height:91;left:60;top:0;" coordsize="7151878,9144" path="m0,0l7151878,0l7151878,9144l0,9144l0,0">
                <v:stroke weight="0pt" endcap="flat" joinstyle="miter" miterlimit="10" on="false" color="#000000" opacity="0"/>
                <v:fill on="true" color="#000000"/>
              </v:shape>
              <v:shape id="Shape 427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b/>
        <w:color w:val="FFFFFF"/>
        <w:sz w:val="32"/>
      </w:rPr>
      <w:t xml:space="preserve">UNSUPERVISED LEARNING </w:t>
    </w:r>
  </w:p>
  <w:p w:rsidR="00A4481C" w:rsidRDefault="008C7210">
    <w:pPr>
      <w:spacing w:after="0"/>
    </w:pPr>
    <w:r>
      <w:t xml:space="preserve"> </w:t>
    </w:r>
  </w:p>
  <w:p w:rsidR="00A4481C" w:rsidRDefault="008C721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4055" name="Group 4055"/>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pic:pic xmlns:pic="http://schemas.openxmlformats.org/drawingml/2006/picture">
                      <pic:nvPicPr>
                        <pic:cNvPr id="4058" name="Picture 4058"/>
                        <pic:cNvPicPr/>
                      </pic:nvPicPr>
                      <pic:blipFill>
                        <a:blip r:embed="rId1"/>
                        <a:stretch>
                          <a:fillRect/>
                        </a:stretch>
                      </pic:blipFill>
                      <pic:spPr>
                        <a:xfrm>
                          <a:off x="2024380" y="3262300"/>
                          <a:ext cx="3112135" cy="3251835"/>
                        </a:xfrm>
                        <a:prstGeom prst="rect">
                          <a:avLst/>
                        </a:prstGeom>
                      </pic:spPr>
                    </pic:pic>
                    <wps:wsp>
                      <wps:cNvPr id="4277" name="Shape 427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8" name="Shape 427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5" style="width:564.1pt;height:743.14pt;position:absolute;z-index:-2147483648;mso-position-horizontal-relative:page;mso-position-horizontal:absolute;margin-left:24pt;mso-position-vertical-relative:page;margin-top:24.476pt;" coordsize="71640,94378">
              <v:shape id="Picture 4058" style="position:absolute;width:31121;height:32518;left:20243;top:32623;" filled="f">
                <v:imagedata r:id="rId7"/>
              </v:shape>
              <v:shape id="Shape 4279" style="position:absolute;width:91;height:94378;left:0;top:0;" coordsize="9144,9437878" path="m0,0l9144,0l9144,9437878l0,9437878l0,0">
                <v:stroke weight="0pt" endcap="flat" joinstyle="miter" miterlimit="10" on="false" color="#000000" opacity="0"/>
                <v:fill on="true" color="#000000"/>
              </v:shape>
              <v:shape id="Shape 4280"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81"/>
    <w:multiLevelType w:val="hybridMultilevel"/>
    <w:tmpl w:val="7C16F822"/>
    <w:lvl w:ilvl="0" w:tplc="CA20A6BE">
      <w:start w:val="1"/>
      <w:numFmt w:val="lowerLetter"/>
      <w:lvlText w:val="%1."/>
      <w:lvlJc w:val="left"/>
      <w:pPr>
        <w:ind w:left="142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35487BB0">
      <w:start w:val="1"/>
      <w:numFmt w:val="lowerLetter"/>
      <w:lvlText w:val="%2"/>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B5BC7874">
      <w:start w:val="1"/>
      <w:numFmt w:val="lowerRoman"/>
      <w:lvlText w:val="%3"/>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5DA886AA">
      <w:start w:val="1"/>
      <w:numFmt w:val="decimal"/>
      <w:lvlText w:val="%4"/>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D032B40A">
      <w:start w:val="1"/>
      <w:numFmt w:val="lowerLetter"/>
      <w:lvlText w:val="%5"/>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68E6C3AC">
      <w:start w:val="1"/>
      <w:numFmt w:val="lowerRoman"/>
      <w:lvlText w:val="%6"/>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1E2CF8CC">
      <w:start w:val="1"/>
      <w:numFmt w:val="decimal"/>
      <w:lvlText w:val="%7"/>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48EA9F56">
      <w:start w:val="1"/>
      <w:numFmt w:val="lowerLetter"/>
      <w:lvlText w:val="%8"/>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1EA626C4">
      <w:start w:val="1"/>
      <w:numFmt w:val="lowerRoman"/>
      <w:lvlText w:val="%9"/>
      <w:lvlJc w:val="left"/>
      <w:pPr>
        <w:ind w:left="68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21BC6289"/>
    <w:multiLevelType w:val="hybridMultilevel"/>
    <w:tmpl w:val="BD2A7EE6"/>
    <w:lvl w:ilvl="0" w:tplc="C4DCB1DE">
      <w:start w:val="1"/>
      <w:numFmt w:val="lowerLetter"/>
      <w:lvlText w:val="%1."/>
      <w:lvlJc w:val="left"/>
      <w:pPr>
        <w:ind w:left="142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FD2AEFC4">
      <w:start w:val="1"/>
      <w:numFmt w:val="lowerLetter"/>
      <w:lvlText w:val="%2"/>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E390B40C">
      <w:start w:val="1"/>
      <w:numFmt w:val="lowerRoman"/>
      <w:lvlText w:val="%3"/>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C6D468EC">
      <w:start w:val="1"/>
      <w:numFmt w:val="decimal"/>
      <w:lvlText w:val="%4"/>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9BEEA1C2">
      <w:start w:val="1"/>
      <w:numFmt w:val="lowerLetter"/>
      <w:lvlText w:val="%5"/>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10A280CE">
      <w:start w:val="1"/>
      <w:numFmt w:val="lowerRoman"/>
      <w:lvlText w:val="%6"/>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BFD871AC">
      <w:start w:val="1"/>
      <w:numFmt w:val="decimal"/>
      <w:lvlText w:val="%7"/>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65A03494">
      <w:start w:val="1"/>
      <w:numFmt w:val="lowerLetter"/>
      <w:lvlText w:val="%8"/>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976A447E">
      <w:start w:val="1"/>
      <w:numFmt w:val="lowerRoman"/>
      <w:lvlText w:val="%9"/>
      <w:lvlJc w:val="left"/>
      <w:pPr>
        <w:ind w:left="68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4EE8502F"/>
    <w:multiLevelType w:val="hybridMultilevel"/>
    <w:tmpl w:val="A9AE0D60"/>
    <w:lvl w:ilvl="0" w:tplc="5982425A">
      <w:start w:val="1"/>
      <w:numFmt w:val="lowerLetter"/>
      <w:lvlText w:val="%1."/>
      <w:lvlJc w:val="left"/>
      <w:pPr>
        <w:ind w:left="142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C220E04C">
      <w:start w:val="1"/>
      <w:numFmt w:val="lowerLetter"/>
      <w:lvlText w:val="%2"/>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470E5E18">
      <w:start w:val="1"/>
      <w:numFmt w:val="lowerRoman"/>
      <w:lvlText w:val="%3"/>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49B64292">
      <w:start w:val="1"/>
      <w:numFmt w:val="decimal"/>
      <w:lvlText w:val="%4"/>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3F5E7226">
      <w:start w:val="1"/>
      <w:numFmt w:val="lowerLetter"/>
      <w:lvlText w:val="%5"/>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B33A25D8">
      <w:start w:val="1"/>
      <w:numFmt w:val="lowerRoman"/>
      <w:lvlText w:val="%6"/>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19A89C10">
      <w:start w:val="1"/>
      <w:numFmt w:val="decimal"/>
      <w:lvlText w:val="%7"/>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79704BBA">
      <w:start w:val="1"/>
      <w:numFmt w:val="lowerLetter"/>
      <w:lvlText w:val="%8"/>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887A2B04">
      <w:start w:val="1"/>
      <w:numFmt w:val="lowerRoman"/>
      <w:lvlText w:val="%9"/>
      <w:lvlJc w:val="left"/>
      <w:pPr>
        <w:ind w:left="68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4F7C08CF"/>
    <w:multiLevelType w:val="hybridMultilevel"/>
    <w:tmpl w:val="57583B66"/>
    <w:lvl w:ilvl="0" w:tplc="428EAC18">
      <w:start w:val="1"/>
      <w:numFmt w:val="lowerLetter"/>
      <w:lvlText w:val="%1."/>
      <w:lvlJc w:val="left"/>
      <w:pPr>
        <w:ind w:left="142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B4CC8C46">
      <w:start w:val="1"/>
      <w:numFmt w:val="lowerLetter"/>
      <w:lvlText w:val="%2"/>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D870BAA0">
      <w:start w:val="1"/>
      <w:numFmt w:val="lowerRoman"/>
      <w:lvlText w:val="%3"/>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33442790">
      <w:start w:val="1"/>
      <w:numFmt w:val="decimal"/>
      <w:lvlText w:val="%4"/>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397CA09C">
      <w:start w:val="1"/>
      <w:numFmt w:val="lowerLetter"/>
      <w:lvlText w:val="%5"/>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063463F6">
      <w:start w:val="1"/>
      <w:numFmt w:val="lowerRoman"/>
      <w:lvlText w:val="%6"/>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23A3FF0">
      <w:start w:val="1"/>
      <w:numFmt w:val="decimal"/>
      <w:lvlText w:val="%7"/>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2E62F10E">
      <w:start w:val="1"/>
      <w:numFmt w:val="lowerLetter"/>
      <w:lvlText w:val="%8"/>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3EACDAB0">
      <w:start w:val="1"/>
      <w:numFmt w:val="lowerRoman"/>
      <w:lvlText w:val="%9"/>
      <w:lvlJc w:val="left"/>
      <w:pPr>
        <w:ind w:left="68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625B170B"/>
    <w:multiLevelType w:val="hybridMultilevel"/>
    <w:tmpl w:val="5D26123C"/>
    <w:lvl w:ilvl="0" w:tplc="EFF422D8">
      <w:start w:val="1"/>
      <w:numFmt w:val="decimal"/>
      <w:lvlText w:val="%1."/>
      <w:lvlJc w:val="left"/>
      <w:pPr>
        <w:ind w:left="705"/>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1" w:tplc="11380808">
      <w:start w:val="1"/>
      <w:numFmt w:val="lowerLetter"/>
      <w:lvlText w:val="%2"/>
      <w:lvlJc w:val="left"/>
      <w:pPr>
        <w:ind w:left="144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2" w:tplc="6D72217E">
      <w:start w:val="1"/>
      <w:numFmt w:val="lowerRoman"/>
      <w:lvlText w:val="%3"/>
      <w:lvlJc w:val="left"/>
      <w:pPr>
        <w:ind w:left="216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3" w:tplc="311ECB92">
      <w:start w:val="1"/>
      <w:numFmt w:val="decimal"/>
      <w:lvlText w:val="%4"/>
      <w:lvlJc w:val="left"/>
      <w:pPr>
        <w:ind w:left="288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4" w:tplc="21B0AD28">
      <w:start w:val="1"/>
      <w:numFmt w:val="lowerLetter"/>
      <w:lvlText w:val="%5"/>
      <w:lvlJc w:val="left"/>
      <w:pPr>
        <w:ind w:left="360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5" w:tplc="52B8DA64">
      <w:start w:val="1"/>
      <w:numFmt w:val="lowerRoman"/>
      <w:lvlText w:val="%6"/>
      <w:lvlJc w:val="left"/>
      <w:pPr>
        <w:ind w:left="432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6" w:tplc="B35EB1FC">
      <w:start w:val="1"/>
      <w:numFmt w:val="decimal"/>
      <w:lvlText w:val="%7"/>
      <w:lvlJc w:val="left"/>
      <w:pPr>
        <w:ind w:left="504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7" w:tplc="8220908C">
      <w:start w:val="1"/>
      <w:numFmt w:val="lowerLetter"/>
      <w:lvlText w:val="%8"/>
      <w:lvlJc w:val="left"/>
      <w:pPr>
        <w:ind w:left="576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lvl w:ilvl="8" w:tplc="AD40184C">
      <w:start w:val="1"/>
      <w:numFmt w:val="lowerRoman"/>
      <w:lvlText w:val="%9"/>
      <w:lvlJc w:val="left"/>
      <w:pPr>
        <w:ind w:left="6480"/>
      </w:pPr>
      <w:rPr>
        <w:rFonts w:ascii="Calibri" w:eastAsia="Calibri" w:hAnsi="Calibri" w:cs="Calibri"/>
        <w:b w:val="0"/>
        <w:i w:val="0"/>
        <w:strike w:val="0"/>
        <w:dstrike w:val="0"/>
        <w:color w:val="2E74B5"/>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81C"/>
    <w:rsid w:val="008C7210"/>
    <w:rsid w:val="00A26F71"/>
    <w:rsid w:val="00A4481C"/>
    <w:rsid w:val="00CD28E3"/>
    <w:rsid w:val="00EE0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1DC9"/>
  <w15:docId w15:val="{CBDD1453-8922-4F33-A7CA-61A2865D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8"/>
      <w:ind w:left="370" w:hanging="10"/>
      <w:outlineLvl w:val="0"/>
    </w:pPr>
    <w:rPr>
      <w:rFonts w:ascii="Calibri" w:eastAsia="Calibri" w:hAnsi="Calibri" w:cs="Calibri"/>
      <w:b/>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dc:title>
  <dc:subject/>
  <dc:creator>Windows User</dc:creator>
  <cp:keywords/>
  <cp:lastModifiedBy>Venkatarajesh G</cp:lastModifiedBy>
  <cp:revision>3</cp:revision>
  <dcterms:created xsi:type="dcterms:W3CDTF">2022-08-29T11:48:00Z</dcterms:created>
  <dcterms:modified xsi:type="dcterms:W3CDTF">2022-08-29T11:50:00Z</dcterms:modified>
</cp:coreProperties>
</file>