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C2BD" w14:textId="109F49A6" w:rsidR="003E4D6C" w:rsidRPr="00802826" w:rsidRDefault="00743250">
      <w:pPr>
        <w:rPr>
          <w:b/>
          <w:bCs/>
          <w:sz w:val="36"/>
          <w:szCs w:val="36"/>
          <w:u w:val="single"/>
        </w:rPr>
      </w:pPr>
      <w:r w:rsidRPr="00802826">
        <w:rPr>
          <w:b/>
          <w:bCs/>
          <w:sz w:val="36"/>
          <w:szCs w:val="36"/>
        </w:rPr>
        <w:t>What all is returned from feat_acf()</w:t>
      </w:r>
      <w:r w:rsidR="00802826">
        <w:rPr>
          <w:b/>
          <w:bCs/>
          <w:sz w:val="36"/>
          <w:szCs w:val="36"/>
        </w:rPr>
        <w:t xml:space="preserve"> </w:t>
      </w:r>
    </w:p>
    <w:p w14:paraId="3BB5255F" w14:textId="77777777" w:rsidR="00743250" w:rsidRPr="00743250" w:rsidRDefault="00743250" w:rsidP="00743250">
      <w:pPr>
        <w:shd w:val="clear" w:color="auto" w:fill="FFFFFF"/>
        <w:spacing w:after="0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743250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The </w:t>
      </w:r>
      <w:r w:rsidRPr="00743250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feat_acf()</w:t>
      </w:r>
      <w:r w:rsidRPr="00743250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function computes a selection of the autocorrelations discussed here. It will return six or seven features:</w:t>
      </w:r>
    </w:p>
    <w:p w14:paraId="2F6772AC" w14:textId="77777777" w:rsidR="00743250" w:rsidRPr="00743250" w:rsidRDefault="00743250" w:rsidP="007432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743250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the first autocorrelation coefficient from the original data;</w:t>
      </w:r>
    </w:p>
    <w:p w14:paraId="2EA6FD10" w14:textId="77777777" w:rsidR="00743250" w:rsidRPr="00743250" w:rsidRDefault="00743250" w:rsidP="007432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743250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the sum of squares of the first ten autocorrelation coefficients from the original data;</w:t>
      </w:r>
    </w:p>
    <w:p w14:paraId="57471AB7" w14:textId="77777777" w:rsidR="00743250" w:rsidRPr="00743250" w:rsidRDefault="00743250" w:rsidP="007432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743250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the first autocorrelation coefficient from the differenced data;</w:t>
      </w:r>
    </w:p>
    <w:p w14:paraId="5DD8B865" w14:textId="77777777" w:rsidR="00743250" w:rsidRPr="00743250" w:rsidRDefault="00743250" w:rsidP="007432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743250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the sum of squares of the first ten autocorrelation coefficients from the differenced data;</w:t>
      </w:r>
    </w:p>
    <w:p w14:paraId="5E26D354" w14:textId="77777777" w:rsidR="00743250" w:rsidRPr="00743250" w:rsidRDefault="00743250" w:rsidP="007432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743250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the first autocorrelation coefficient from the twice differenced data;</w:t>
      </w:r>
    </w:p>
    <w:p w14:paraId="12863927" w14:textId="77777777" w:rsidR="00743250" w:rsidRPr="00743250" w:rsidRDefault="00743250" w:rsidP="007432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743250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the sum of squares of the first ten autocorrelation coefficients from the twice differenced data;</w:t>
      </w:r>
    </w:p>
    <w:p w14:paraId="424B3568" w14:textId="77777777" w:rsidR="00743250" w:rsidRPr="00743250" w:rsidRDefault="00743250" w:rsidP="007432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743250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For seasonal data, the autocorrelation coefficient at the first seasonal lag is also returned.</w:t>
      </w:r>
    </w:p>
    <w:p w14:paraId="33F6FA61" w14:textId="5A4C9F03" w:rsidR="00743250" w:rsidRDefault="00743250"/>
    <w:p w14:paraId="4AAEE5C2" w14:textId="77777777" w:rsidR="00743250" w:rsidRPr="00743250" w:rsidRDefault="00743250" w:rsidP="00743250">
      <w:pPr>
        <w:shd w:val="clear" w:color="auto" w:fill="FFFFFF"/>
        <w:spacing w:after="0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743250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The </w:t>
      </w:r>
      <w:r w:rsidRPr="00743250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feat_stl()</w:t>
      </w:r>
      <w:r w:rsidRPr="00743250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function returns several more features other than those discussed above.</w:t>
      </w:r>
    </w:p>
    <w:p w14:paraId="32B122A3" w14:textId="77777777" w:rsidR="00743250" w:rsidRPr="00743250" w:rsidRDefault="00743250" w:rsidP="0074325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743250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seasonal_peak_year</w:t>
      </w:r>
      <w:r w:rsidRPr="00743250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indicates the timing of the peaks — which month or quarter contains the largest seasonal component. This tells us something about the nature of the seasonality. In the Australian tourism data, if Quarter 3 is the peak seasonal period, then people are travelling to the region in winter, whereas a peak in Quarter 1 suggests that the region is more popular in summer.</w:t>
      </w:r>
    </w:p>
    <w:p w14:paraId="508A94EA" w14:textId="77777777" w:rsidR="00743250" w:rsidRPr="00743250" w:rsidRDefault="00743250" w:rsidP="0074325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743250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seasonal_trough_year</w:t>
      </w:r>
      <w:r w:rsidRPr="00743250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indicates the timing of the troughs — which month or quarter contains the smallest seasonal component.</w:t>
      </w:r>
    </w:p>
    <w:p w14:paraId="6F7FBCB5" w14:textId="77777777" w:rsidR="00743250" w:rsidRPr="00743250" w:rsidRDefault="00743250" w:rsidP="0074325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743250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spikiness</w:t>
      </w:r>
      <w:r w:rsidRPr="00743250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measures the prevalence of spikes in the remainder component </w:t>
      </w:r>
      <w:r w:rsidRPr="00743250">
        <w:rPr>
          <w:rFonts w:ascii="MJXc-TeX-math-Iw" w:eastAsia="Times New Roman" w:hAnsi="MJXc-TeX-math-Iw" w:cs="Times New Roman"/>
          <w:color w:val="333333"/>
          <w:sz w:val="30"/>
          <w:szCs w:val="30"/>
          <w:bdr w:val="none" w:sz="0" w:space="0" w:color="auto" w:frame="1"/>
          <w:lang w:eastAsia="en-IN"/>
        </w:rPr>
        <w:t>R</w:t>
      </w:r>
      <w:r w:rsidRPr="00743250">
        <w:rPr>
          <w:rFonts w:ascii="MJXc-TeX-math-Iw" w:eastAsia="Times New Roman" w:hAnsi="MJXc-TeX-math-Iw" w:cs="Times New Roman"/>
          <w:color w:val="333333"/>
          <w:sz w:val="21"/>
          <w:szCs w:val="21"/>
          <w:bdr w:val="none" w:sz="0" w:space="0" w:color="auto" w:frame="1"/>
          <w:lang w:eastAsia="en-IN"/>
        </w:rPr>
        <w:t>t</w:t>
      </w:r>
      <w:r w:rsidRPr="00743250">
        <w:rPr>
          <w:rFonts w:ascii="Merriweather" w:eastAsia="Times New Roman" w:hAnsi="Merriweather" w:cs="Times New Roman"/>
          <w:color w:val="333333"/>
          <w:sz w:val="30"/>
          <w:szCs w:val="30"/>
          <w:bdr w:val="none" w:sz="0" w:space="0" w:color="auto" w:frame="1"/>
          <w:lang w:eastAsia="en-IN"/>
        </w:rPr>
        <w:t>Rt</w:t>
      </w:r>
      <w:r w:rsidRPr="00743250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of the STL decomposition. It is the variance of the leave-one-out variances of </w:t>
      </w:r>
      <w:r w:rsidRPr="00743250">
        <w:rPr>
          <w:rFonts w:ascii="MJXc-TeX-math-Iw" w:eastAsia="Times New Roman" w:hAnsi="MJXc-TeX-math-Iw" w:cs="Times New Roman"/>
          <w:color w:val="333333"/>
          <w:sz w:val="30"/>
          <w:szCs w:val="30"/>
          <w:bdr w:val="none" w:sz="0" w:space="0" w:color="auto" w:frame="1"/>
          <w:lang w:eastAsia="en-IN"/>
        </w:rPr>
        <w:t>R</w:t>
      </w:r>
      <w:r w:rsidRPr="00743250">
        <w:rPr>
          <w:rFonts w:ascii="MJXc-TeX-math-Iw" w:eastAsia="Times New Roman" w:hAnsi="MJXc-TeX-math-Iw" w:cs="Times New Roman"/>
          <w:color w:val="333333"/>
          <w:sz w:val="21"/>
          <w:szCs w:val="21"/>
          <w:bdr w:val="none" w:sz="0" w:space="0" w:color="auto" w:frame="1"/>
          <w:lang w:eastAsia="en-IN"/>
        </w:rPr>
        <w:t>t</w:t>
      </w:r>
      <w:r w:rsidRPr="00743250">
        <w:rPr>
          <w:rFonts w:ascii="Merriweather" w:eastAsia="Times New Roman" w:hAnsi="Merriweather" w:cs="Times New Roman"/>
          <w:color w:val="333333"/>
          <w:sz w:val="30"/>
          <w:szCs w:val="30"/>
          <w:bdr w:val="none" w:sz="0" w:space="0" w:color="auto" w:frame="1"/>
          <w:lang w:eastAsia="en-IN"/>
        </w:rPr>
        <w:t>Rt</w:t>
      </w:r>
      <w:r w:rsidRPr="00743250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.</w:t>
      </w:r>
    </w:p>
    <w:p w14:paraId="12775495" w14:textId="77777777" w:rsidR="00743250" w:rsidRPr="00743250" w:rsidRDefault="00743250" w:rsidP="0074325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743250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linearity</w:t>
      </w:r>
      <w:r w:rsidRPr="00743250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measures the linearity of the trend component of the STL decomposition. It is based on the coefficient of a linear regression applied to the trend component.</w:t>
      </w:r>
    </w:p>
    <w:p w14:paraId="06F4901B" w14:textId="77777777" w:rsidR="00743250" w:rsidRPr="00743250" w:rsidRDefault="00743250" w:rsidP="0074325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743250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curvature</w:t>
      </w:r>
      <w:r w:rsidRPr="00743250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measures the curvature of the trend component of the STL decomposition. It is based on the coefficient from an orthogonal quadratic regression applied to the trend component.</w:t>
      </w:r>
    </w:p>
    <w:p w14:paraId="6F490338" w14:textId="77777777" w:rsidR="00743250" w:rsidRPr="00743250" w:rsidRDefault="00743250" w:rsidP="0074325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743250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stl_e_acf1</w:t>
      </w:r>
      <w:r w:rsidRPr="00743250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is the first autocorrelation coefficient of the remainder series.</w:t>
      </w:r>
    </w:p>
    <w:p w14:paraId="5F0D6A03" w14:textId="77777777" w:rsidR="00743250" w:rsidRPr="00743250" w:rsidRDefault="00743250" w:rsidP="0074325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743250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stl_e_acf10</w:t>
      </w:r>
      <w:r w:rsidRPr="00743250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is the sum of squares of the first ten autocorrelation coefficients of the remainder series.</w:t>
      </w:r>
    </w:p>
    <w:p w14:paraId="487D13D3" w14:textId="20A8D9DF" w:rsidR="00743250" w:rsidRDefault="00743250"/>
    <w:p w14:paraId="367FE4AE" w14:textId="77777777" w:rsidR="002E1A75" w:rsidRPr="002E1A75" w:rsidRDefault="002E1A75" w:rsidP="002E1A75">
      <w:pPr>
        <w:shd w:val="clear" w:color="auto" w:fill="FFFFFF"/>
        <w:spacing w:after="0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lastRenderedPageBreak/>
        <w:t>The remaining features in the </w:t>
      </w:r>
      <w:r w:rsidRPr="002E1A75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feasts</w:t>
      </w:r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package, not previously discussed, are listed here for reference. The details of some of them are discussed later in the book.</w:t>
      </w:r>
    </w:p>
    <w:p w14:paraId="6374C0AC" w14:textId="77777777" w:rsidR="002E1A75" w:rsidRPr="002E1A75" w:rsidRDefault="002E1A75" w:rsidP="002E1A7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2E1A75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coef_hurst</w:t>
      </w:r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will calculate the Hurst coefficient of a time series which is a measure of “long memory”. A series with long memory will have significant autocorrelations for many lags.</w:t>
      </w:r>
    </w:p>
    <w:p w14:paraId="1110820B" w14:textId="77777777" w:rsidR="002E1A75" w:rsidRPr="002E1A75" w:rsidRDefault="002E1A75" w:rsidP="002E1A7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2E1A75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feat_spectral</w:t>
      </w:r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will compute the (Shannon) spectral entropy of a time series, which is a measure of how easy the series is to forecast. A series which has strong trend and seasonality (and so is easy to forecast) will have entropy close to 0. A series that is very noisy (and so is difficult to forecast) will have entropy close to 1.</w:t>
      </w:r>
    </w:p>
    <w:p w14:paraId="4159A7A1" w14:textId="77777777" w:rsidR="002E1A75" w:rsidRPr="002E1A75" w:rsidRDefault="002E1A75" w:rsidP="002E1A7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2E1A75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box_pierce</w:t>
      </w:r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gives the Box-Pierce statistic for testing if a time series is white noise, and the corresponding p-value. This test is discussed in Section </w:t>
      </w:r>
      <w:hyperlink r:id="rId5" w:anchor="diagnostics" w:history="1">
        <w:r w:rsidRPr="002E1A75">
          <w:rPr>
            <w:rFonts w:ascii="Merriweather" w:eastAsia="Times New Roman" w:hAnsi="Merriweather" w:cs="Times New Roman"/>
            <w:color w:val="0000FF"/>
            <w:spacing w:val="3"/>
            <w:sz w:val="24"/>
            <w:szCs w:val="24"/>
            <w:u w:val="single"/>
            <w:lang w:eastAsia="en-IN"/>
          </w:rPr>
          <w:t>5.4</w:t>
        </w:r>
      </w:hyperlink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.</w:t>
      </w:r>
    </w:p>
    <w:p w14:paraId="278097D8" w14:textId="77777777" w:rsidR="002E1A75" w:rsidRPr="002E1A75" w:rsidRDefault="002E1A75" w:rsidP="002E1A7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2E1A75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ljung_box</w:t>
      </w:r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gives the Ljung-Box statistic for testing if a time series is white noise, and the corresponding p-value. This test is discussed in Section </w:t>
      </w:r>
      <w:hyperlink r:id="rId6" w:anchor="diagnostics" w:history="1">
        <w:r w:rsidRPr="002E1A75">
          <w:rPr>
            <w:rFonts w:ascii="Merriweather" w:eastAsia="Times New Roman" w:hAnsi="Merriweather" w:cs="Times New Roman"/>
            <w:color w:val="0000FF"/>
            <w:spacing w:val="3"/>
            <w:sz w:val="24"/>
            <w:szCs w:val="24"/>
            <w:u w:val="single"/>
            <w:lang w:eastAsia="en-IN"/>
          </w:rPr>
          <w:t>5.4</w:t>
        </w:r>
      </w:hyperlink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.</w:t>
      </w:r>
    </w:p>
    <w:p w14:paraId="0B4DF078" w14:textId="77777777" w:rsidR="002E1A75" w:rsidRPr="002E1A75" w:rsidRDefault="002E1A75" w:rsidP="002E1A7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The </w:t>
      </w:r>
      <w:r w:rsidRPr="002E1A75">
        <w:rPr>
          <w:rFonts w:ascii="MJXc-TeX-math-Iw" w:eastAsia="Times New Roman" w:hAnsi="MJXc-TeX-math-Iw" w:cs="Times New Roman"/>
          <w:color w:val="333333"/>
          <w:sz w:val="30"/>
          <w:szCs w:val="30"/>
          <w:bdr w:val="none" w:sz="0" w:space="0" w:color="auto" w:frame="1"/>
          <w:lang w:eastAsia="en-IN"/>
        </w:rPr>
        <w:t>k</w:t>
      </w:r>
      <w:r w:rsidRPr="002E1A75">
        <w:rPr>
          <w:rFonts w:ascii="Merriweather" w:eastAsia="Times New Roman" w:hAnsi="Merriweather" w:cs="Times New Roman"/>
          <w:color w:val="333333"/>
          <w:sz w:val="30"/>
          <w:szCs w:val="30"/>
          <w:bdr w:val="none" w:sz="0" w:space="0" w:color="auto" w:frame="1"/>
          <w:lang w:eastAsia="en-IN"/>
        </w:rPr>
        <w:t>k</w:t>
      </w:r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th partial autocorrelation measures the relationship between observations </w:t>
      </w:r>
      <w:r w:rsidRPr="002E1A75">
        <w:rPr>
          <w:rFonts w:ascii="MJXc-TeX-math-Iw" w:eastAsia="Times New Roman" w:hAnsi="MJXc-TeX-math-Iw" w:cs="Times New Roman"/>
          <w:color w:val="333333"/>
          <w:sz w:val="30"/>
          <w:szCs w:val="30"/>
          <w:bdr w:val="none" w:sz="0" w:space="0" w:color="auto" w:frame="1"/>
          <w:lang w:eastAsia="en-IN"/>
        </w:rPr>
        <w:t>k</w:t>
      </w:r>
      <w:r w:rsidRPr="002E1A75">
        <w:rPr>
          <w:rFonts w:ascii="Merriweather" w:eastAsia="Times New Roman" w:hAnsi="Merriweather" w:cs="Times New Roman"/>
          <w:color w:val="333333"/>
          <w:sz w:val="30"/>
          <w:szCs w:val="30"/>
          <w:bdr w:val="none" w:sz="0" w:space="0" w:color="auto" w:frame="1"/>
          <w:lang w:eastAsia="en-IN"/>
        </w:rPr>
        <w:t>k</w:t>
      </w:r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periods apart after removing the effects of observations between them. So the first partial autocorrelation (</w:t>
      </w:r>
      <w:r w:rsidRPr="002E1A75">
        <w:rPr>
          <w:rFonts w:ascii="MJXc-TeX-math-Iw" w:eastAsia="Times New Roman" w:hAnsi="MJXc-TeX-math-Iw" w:cs="Times New Roman"/>
          <w:color w:val="333333"/>
          <w:sz w:val="30"/>
          <w:szCs w:val="30"/>
          <w:bdr w:val="none" w:sz="0" w:space="0" w:color="auto" w:frame="1"/>
          <w:lang w:eastAsia="en-IN"/>
        </w:rPr>
        <w:t>k</w:t>
      </w:r>
      <w:r w:rsidRPr="002E1A75">
        <w:rPr>
          <w:rFonts w:ascii="MJXc-TeX-main-Rw" w:eastAsia="Times New Roman" w:hAnsi="MJXc-TeX-main-Rw" w:cs="Times New Roman"/>
          <w:color w:val="333333"/>
          <w:sz w:val="30"/>
          <w:szCs w:val="30"/>
          <w:bdr w:val="none" w:sz="0" w:space="0" w:color="auto" w:frame="1"/>
          <w:lang w:eastAsia="en-IN"/>
        </w:rPr>
        <w:t>=1</w:t>
      </w:r>
      <w:r w:rsidRPr="002E1A75">
        <w:rPr>
          <w:rFonts w:ascii="Merriweather" w:eastAsia="Times New Roman" w:hAnsi="Merriweather" w:cs="Times New Roman"/>
          <w:color w:val="333333"/>
          <w:sz w:val="30"/>
          <w:szCs w:val="30"/>
          <w:bdr w:val="none" w:sz="0" w:space="0" w:color="auto" w:frame="1"/>
          <w:lang w:eastAsia="en-IN"/>
        </w:rPr>
        <w:t>k=1</w:t>
      </w:r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) is identical to the first autocorrelation, because there is nothing between consecutive observations to remove. Partial autocorrelations are discussed in Section </w:t>
      </w:r>
      <w:hyperlink r:id="rId7" w:anchor="non-seasonal-arima" w:history="1">
        <w:r w:rsidRPr="002E1A75">
          <w:rPr>
            <w:rFonts w:ascii="Merriweather" w:eastAsia="Times New Roman" w:hAnsi="Merriweather" w:cs="Times New Roman"/>
            <w:color w:val="0000FF"/>
            <w:spacing w:val="3"/>
            <w:sz w:val="24"/>
            <w:szCs w:val="24"/>
            <w:u w:val="single"/>
            <w:lang w:eastAsia="en-IN"/>
          </w:rPr>
          <w:t>9.5</w:t>
        </w:r>
      </w:hyperlink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. The </w:t>
      </w:r>
      <w:r w:rsidRPr="002E1A75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feat_pacf</w:t>
      </w:r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function contains several features involving partial autocorrelations including the sum of squares of the first five partial autocorrelations for the original series, the first-differenced series and the second-differenced series. For seasonal data, it also includes the partial autocorrelation at the first seasonal lag.</w:t>
      </w:r>
    </w:p>
    <w:p w14:paraId="480EEB82" w14:textId="77777777" w:rsidR="002E1A75" w:rsidRPr="002E1A75" w:rsidRDefault="002E1A75" w:rsidP="002E1A7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2E1A75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unitroot_kpss</w:t>
      </w:r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gives the Kwiatkowski-Phillips-Schmidt-Shin (KPSS) statistic for testing if a series is stationary, and the corresponding p-value. This test is discussed in Section </w:t>
      </w:r>
      <w:hyperlink r:id="rId8" w:anchor="stationarity" w:history="1">
        <w:r w:rsidRPr="002E1A75">
          <w:rPr>
            <w:rFonts w:ascii="Merriweather" w:eastAsia="Times New Roman" w:hAnsi="Merriweather" w:cs="Times New Roman"/>
            <w:color w:val="0000FF"/>
            <w:spacing w:val="3"/>
            <w:sz w:val="24"/>
            <w:szCs w:val="24"/>
            <w:u w:val="single"/>
            <w:lang w:eastAsia="en-IN"/>
          </w:rPr>
          <w:t>9.1</w:t>
        </w:r>
      </w:hyperlink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.</w:t>
      </w:r>
    </w:p>
    <w:p w14:paraId="7F6DB1BD" w14:textId="77777777" w:rsidR="002E1A75" w:rsidRPr="002E1A75" w:rsidRDefault="002E1A75" w:rsidP="002E1A7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2E1A75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unitroot_pp</w:t>
      </w:r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gives the Phillips-Perron statistic for testing if a series is non-stationary, and the corresponding p-value.</w:t>
      </w:r>
    </w:p>
    <w:p w14:paraId="2E48A5DC" w14:textId="77777777" w:rsidR="002E1A75" w:rsidRPr="002E1A75" w:rsidRDefault="002E1A75" w:rsidP="002E1A7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2E1A75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unitroot_ndiffs</w:t>
      </w:r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gives the number of differences required to lead to a stationary series based on the KPSS test. This is discussed in Section </w:t>
      </w:r>
      <w:hyperlink r:id="rId9" w:anchor="stationarity" w:history="1">
        <w:r w:rsidRPr="002E1A75">
          <w:rPr>
            <w:rFonts w:ascii="Merriweather" w:eastAsia="Times New Roman" w:hAnsi="Merriweather" w:cs="Times New Roman"/>
            <w:color w:val="0000FF"/>
            <w:spacing w:val="3"/>
            <w:sz w:val="24"/>
            <w:szCs w:val="24"/>
            <w:u w:val="single"/>
            <w:lang w:eastAsia="en-IN"/>
          </w:rPr>
          <w:t>9.1</w:t>
        </w:r>
      </w:hyperlink>
    </w:p>
    <w:p w14:paraId="340FA8B0" w14:textId="77777777" w:rsidR="002E1A75" w:rsidRPr="002E1A75" w:rsidRDefault="002E1A75" w:rsidP="002E1A7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2E1A75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unitroot_nsdiffs</w:t>
      </w:r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gives the number of seasonal differences required to make a series stationary. This is discussed in Section </w:t>
      </w:r>
      <w:hyperlink r:id="rId10" w:anchor="stationarity" w:history="1">
        <w:r w:rsidRPr="002E1A75">
          <w:rPr>
            <w:rFonts w:ascii="Merriweather" w:eastAsia="Times New Roman" w:hAnsi="Merriweather" w:cs="Times New Roman"/>
            <w:color w:val="0000FF"/>
            <w:spacing w:val="3"/>
            <w:sz w:val="24"/>
            <w:szCs w:val="24"/>
            <w:u w:val="single"/>
            <w:lang w:eastAsia="en-IN"/>
          </w:rPr>
          <w:t>9.1</w:t>
        </w:r>
      </w:hyperlink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.</w:t>
      </w:r>
    </w:p>
    <w:p w14:paraId="57C73184" w14:textId="77777777" w:rsidR="002E1A75" w:rsidRPr="002E1A75" w:rsidRDefault="002E1A75" w:rsidP="002E1A7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2E1A75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var_tiled_mean</w:t>
      </w:r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gives the variances of the “tiled means” (i.e., the means of consecutive non-overlapping blocks of observations). The default tile length is either 10 (for non-seasonal data) or the length of the seasonal period. This is sometimes called the “stability” feature.</w:t>
      </w:r>
    </w:p>
    <w:p w14:paraId="0FC37D08" w14:textId="77777777" w:rsidR="002E1A75" w:rsidRPr="002E1A75" w:rsidRDefault="002E1A75" w:rsidP="002E1A7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2E1A75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lastRenderedPageBreak/>
        <w:t>var_tiled_var</w:t>
      </w:r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gives the variances of the “tiled variances” (i.e., the variances of consecutive non-overlapping blocks of observations). This is sometimes called the “lumpiness” feature.</w:t>
      </w:r>
    </w:p>
    <w:p w14:paraId="59A05AD8" w14:textId="77777777" w:rsidR="002E1A75" w:rsidRPr="002E1A75" w:rsidRDefault="002E1A75" w:rsidP="002E1A7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2E1A75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shift_level_max</w:t>
      </w:r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finds the largest mean shift between two consecutive sliding windows of the time series. This is useful for finding sudden jumps or drops in a time series.</w:t>
      </w:r>
    </w:p>
    <w:p w14:paraId="77CA007C" w14:textId="77777777" w:rsidR="002E1A75" w:rsidRPr="002E1A75" w:rsidRDefault="002E1A75" w:rsidP="002E1A7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2E1A75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shift_level_index</w:t>
      </w:r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gives the index at which the largest mean shift occurs.</w:t>
      </w:r>
    </w:p>
    <w:p w14:paraId="1B818418" w14:textId="77777777" w:rsidR="002E1A75" w:rsidRPr="002E1A75" w:rsidRDefault="002E1A75" w:rsidP="002E1A7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2E1A75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shift_var_max</w:t>
      </w:r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finds the largest variance shift between two consecutive sliding windows of the time series. This is useful for finding sudden changes in the volatility of a time series.</w:t>
      </w:r>
    </w:p>
    <w:p w14:paraId="52B547B0" w14:textId="77777777" w:rsidR="002E1A75" w:rsidRPr="002E1A75" w:rsidRDefault="002E1A75" w:rsidP="002E1A7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2E1A75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shift_var_index</w:t>
      </w:r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gives the index at which the largest variance shift occurs.</w:t>
      </w:r>
    </w:p>
    <w:p w14:paraId="0F8C02E8" w14:textId="77777777" w:rsidR="002E1A75" w:rsidRPr="002E1A75" w:rsidRDefault="002E1A75" w:rsidP="002E1A7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2E1A75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shift_kl_max</w:t>
      </w:r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finds the largest distributional shift (based on the Kulback-Leibler divergence) between two consecutive sliding windows of the time series. This is useful for finding sudden changes in the distribution of a time series.</w:t>
      </w:r>
    </w:p>
    <w:p w14:paraId="09583B34" w14:textId="77777777" w:rsidR="002E1A75" w:rsidRPr="002E1A75" w:rsidRDefault="002E1A75" w:rsidP="002E1A7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2E1A75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shift_kl_index</w:t>
      </w:r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gives the index at which the largest KL shift occurs.</w:t>
      </w:r>
    </w:p>
    <w:p w14:paraId="18E3E0DB" w14:textId="77777777" w:rsidR="002E1A75" w:rsidRPr="002E1A75" w:rsidRDefault="002E1A75" w:rsidP="002E1A7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2E1A75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n_crossing_points</w:t>
      </w:r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computes the number of times a time series crosses the median.</w:t>
      </w:r>
    </w:p>
    <w:p w14:paraId="7935F66A" w14:textId="77777777" w:rsidR="002E1A75" w:rsidRPr="002E1A75" w:rsidRDefault="002E1A75" w:rsidP="002E1A7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2E1A75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longest_flat_spot</w:t>
      </w:r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computes the number of sections of the data where the series is relatively unchanging.</w:t>
      </w:r>
    </w:p>
    <w:p w14:paraId="263B3DF1" w14:textId="77777777" w:rsidR="002E1A75" w:rsidRPr="002E1A75" w:rsidRDefault="002E1A75" w:rsidP="002E1A7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2E1A75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stat_arch_lm</w:t>
      </w:r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returns the statistic based on the Lagrange Multiplier (LM) test of Engle (1982) for autoregressive conditional heteroscedasticity (ARCH).</w:t>
      </w:r>
    </w:p>
    <w:p w14:paraId="49C3FCB9" w14:textId="77777777" w:rsidR="002E1A75" w:rsidRPr="002E1A75" w:rsidRDefault="002E1A75" w:rsidP="002E1A7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</w:pPr>
      <w:r w:rsidRPr="002E1A75">
        <w:rPr>
          <w:rFonts w:ascii="Source Code Pro" w:eastAsia="Times New Roman" w:hAnsi="Source Code Pro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guerrero</w:t>
      </w:r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computes the optimal </w:t>
      </w:r>
      <w:r w:rsidRPr="002E1A75">
        <w:rPr>
          <w:rFonts w:ascii="MJXc-TeX-math-Iw" w:eastAsia="Times New Roman" w:hAnsi="MJXc-TeX-math-Iw" w:cs="Times New Roman"/>
          <w:color w:val="333333"/>
          <w:sz w:val="30"/>
          <w:szCs w:val="30"/>
          <w:bdr w:val="none" w:sz="0" w:space="0" w:color="auto" w:frame="1"/>
          <w:lang w:eastAsia="en-IN"/>
        </w:rPr>
        <w:t>λ</w:t>
      </w:r>
      <w:r w:rsidRPr="002E1A75">
        <w:rPr>
          <w:rFonts w:ascii="Cambria" w:eastAsia="Times New Roman" w:hAnsi="Cambria" w:cs="Cambria"/>
          <w:color w:val="333333"/>
          <w:sz w:val="30"/>
          <w:szCs w:val="30"/>
          <w:bdr w:val="none" w:sz="0" w:space="0" w:color="auto" w:frame="1"/>
          <w:lang w:eastAsia="en-IN"/>
        </w:rPr>
        <w:t>λ</w:t>
      </w:r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 value for a Box-Cox transformation using the Guerrero method (discussed in Section </w:t>
      </w:r>
      <w:hyperlink r:id="rId11" w:anchor="transformations" w:history="1">
        <w:r w:rsidRPr="002E1A75">
          <w:rPr>
            <w:rFonts w:ascii="Merriweather" w:eastAsia="Times New Roman" w:hAnsi="Merriweather" w:cs="Times New Roman"/>
            <w:color w:val="0000FF"/>
            <w:spacing w:val="3"/>
            <w:sz w:val="24"/>
            <w:szCs w:val="24"/>
            <w:u w:val="single"/>
            <w:lang w:eastAsia="en-IN"/>
          </w:rPr>
          <w:t>3.1</w:t>
        </w:r>
      </w:hyperlink>
      <w:r w:rsidRPr="002E1A75">
        <w:rPr>
          <w:rFonts w:ascii="Merriweather" w:eastAsia="Times New Roman" w:hAnsi="Merriweather" w:cs="Times New Roman"/>
          <w:color w:val="333333"/>
          <w:spacing w:val="3"/>
          <w:sz w:val="24"/>
          <w:szCs w:val="24"/>
          <w:lang w:eastAsia="en-IN"/>
        </w:rPr>
        <w:t>).</w:t>
      </w:r>
    </w:p>
    <w:p w14:paraId="08BAFF41" w14:textId="77777777" w:rsidR="00743250" w:rsidRDefault="00743250"/>
    <w:sectPr w:rsidR="00743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E71DA"/>
    <w:multiLevelType w:val="multilevel"/>
    <w:tmpl w:val="23A4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B93D42"/>
    <w:multiLevelType w:val="multilevel"/>
    <w:tmpl w:val="9230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F741D4"/>
    <w:multiLevelType w:val="multilevel"/>
    <w:tmpl w:val="47F6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43250"/>
    <w:rsid w:val="002E1A75"/>
    <w:rsid w:val="003E4D6C"/>
    <w:rsid w:val="00743250"/>
    <w:rsid w:val="00802826"/>
    <w:rsid w:val="00D6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324F"/>
  <w15:chartTrackingRefBased/>
  <w15:docId w15:val="{8AC76385-C049-4B6A-B2E2-6E3CA223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3250"/>
    <w:rPr>
      <w:rFonts w:ascii="Courier New" w:eastAsia="Times New Roman" w:hAnsi="Courier New" w:cs="Courier New"/>
      <w:sz w:val="20"/>
      <w:szCs w:val="20"/>
    </w:rPr>
  </w:style>
  <w:style w:type="character" w:customStyle="1" w:styleId="mjx-char">
    <w:name w:val="mjx-char"/>
    <w:basedOn w:val="DefaultParagraphFont"/>
    <w:rsid w:val="00743250"/>
  </w:style>
  <w:style w:type="character" w:customStyle="1" w:styleId="mjxassistivemathml">
    <w:name w:val="mjx_assistive_mathml"/>
    <w:basedOn w:val="DefaultParagraphFont"/>
    <w:rsid w:val="00743250"/>
  </w:style>
  <w:style w:type="character" w:styleId="Hyperlink">
    <w:name w:val="Hyperlink"/>
    <w:basedOn w:val="DefaultParagraphFont"/>
    <w:uiPriority w:val="99"/>
    <w:semiHidden/>
    <w:unhideWhenUsed/>
    <w:rsid w:val="002E1A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texts.com/fpp3/stationarity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texts.com/fpp3/non-seasonal-arim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texts.com/fpp3/diagnostics.html" TargetMode="External"/><Relationship Id="rId11" Type="http://schemas.openxmlformats.org/officeDocument/2006/relationships/hyperlink" Target="https://otexts.com/fpp3/transformations.html" TargetMode="External"/><Relationship Id="rId5" Type="http://schemas.openxmlformats.org/officeDocument/2006/relationships/hyperlink" Target="https://otexts.com/fpp3/diagnostics.html" TargetMode="External"/><Relationship Id="rId10" Type="http://schemas.openxmlformats.org/officeDocument/2006/relationships/hyperlink" Target="https://otexts.com/fpp3/stationarit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texts.com/fpp3/stationar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Agarwal</dc:creator>
  <cp:keywords/>
  <dc:description/>
  <cp:lastModifiedBy>Ajay Agarwal</cp:lastModifiedBy>
  <cp:revision>2</cp:revision>
  <dcterms:created xsi:type="dcterms:W3CDTF">2022-03-27T09:33:00Z</dcterms:created>
  <dcterms:modified xsi:type="dcterms:W3CDTF">2022-03-28T13:32:00Z</dcterms:modified>
</cp:coreProperties>
</file>