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Webandcrafts</w:t>
      </w:r>
    </w:p>
    <w:p>
      <w:pPr>
        <w:spacing w:after="40"/>
      </w:pPr>
      <w:r>
        <w:rPr>
          <w:color w:val="6B6B6B"/>
          <w:sz w:val="30"/>
          <w:szCs w:val="30"/>
        </w:rPr>
        <w:t xml:space="preserve">Design &amp; Theme Specification</w:t>
      </w:r>
    </w:p>
    <w:p>
      <w:pPr>
        <w:spacing w:after="260"/>
      </w:pPr>
      <w:r>
        <w:rPr>
          <w:i/>
          <w:iCs/>
          <w:color w:val="6B6B6B"/>
          <w:sz w:val="18"/>
          <w:szCs w:val="18"/>
        </w:rPr>
        <w:t xml:space="preserve">Pixel-exact design system extracted from the live site (webandcrafts.com) — homepage. Captured June 2026.</w:t>
      </w:r>
    </w:p>
    <w:p>
      <w:pPr>
        <w:pStyle w:val="Heading1"/>
      </w:pPr>
      <w:r>
        <w:t xml:space="preserve">1. Design Overview</w:t>
      </w:r>
    </w:p>
    <w:p>
      <w:pPr>
        <w:spacing w:after="140"/>
      </w:pPr>
      <w:r>
        <w:t xml:space="preserve">Webandcrafts (WAC) uses a stark, high-contrast editorial design system built on a near-black and white palette with generous whitespace. The aesthetic is minimal and typographically driven: large, light-weight headlines paired with small, neutral body text, sharp-edged outlined buttons, and full-bleed imagery. There are no decorative accent colors — emphasis comes entirely from scale, weight, and the black/white contrast. Sections alternate between white, light-grey, and near-black backgrounds to create rhythm.</w:t>
      </w:r>
    </w:p>
    <w:p>
      <w:pPr>
        <w:spacing w:after="140"/>
      </w:pPr>
      <w:r>
        <w:t xml:space="preserve">The site is built on Next.js with a custom self-hosted grotesque typeface (weights 200–500) and an Arial fallback tuned with size-adjust for zero layout shift.</w:t>
      </w:r>
    </w:p>
    <w:p>
      <w:pPr>
        <w:pStyle w:val="Heading1"/>
      </w:pPr>
      <w:r>
        <w:t xml:space="preserve">2. Color Palette</w:t>
      </w:r>
    </w:p>
    <w:p>
      <w:pPr>
        <w:spacing w:after="140"/>
      </w:pPr>
      <w:r>
        <w:t xml:space="preserve">The entire palette is monochromatic. “Primary” is a near-black (#141414) used for text, buttons, and dark sections; pure black (#000) is reserved for the footer and image overlays.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2200"/>
        <w:gridCol w:w="1700"/>
        <w:gridCol w:w="1300"/>
        <w:gridCol w:w="4160"/>
      </w:tblGrid>
      <w:tr>
        <w:trPr>
          <w:tblHeader/>
        </w:trPr>
        <w:tc>
          <w:tcPr>
            <w:tcW w:type="dxa" w:w="220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70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30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416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Primary / Ink</w:t>
            </w:r>
          </w:p>
        </w:tc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#141414</w:t>
            </w:r>
          </w:p>
        </w:tc>
        <w:tc>
          <w:tcPr>
            <w:tcW w:type="dxa" w:w="130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Body &amp; heading text, buttons, dark section backgrounds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Black</w:t>
            </w:r>
          </w:p>
        </w:tc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#000000</w:t>
            </w:r>
          </w:p>
        </w:tc>
        <w:tc>
          <w:tcPr>
            <w:tcW w:type="dxa" w:w="1300"/>
            <w:shd w:fill="0000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Footer, hero image gradient overlays, careers band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White / Light</w:t>
            </w:r>
          </w:p>
        </w:tc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page background, text on dark sections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Secondary grey</w:t>
            </w:r>
          </w:p>
        </w:tc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#F4F4F4</w:t>
            </w:r>
          </w:p>
        </w:tc>
        <w:tc>
          <w:tcPr>
            <w:tcW w:type="dxa" w:w="1300"/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Alternating section backgrounds (Gen AI, CTA)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Hairline grey</w:t>
            </w:r>
          </w:p>
        </w:tc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#E8E8E8</w:t>
            </w:r>
          </w:p>
        </w:tc>
        <w:tc>
          <w:tcPr>
            <w:tcW w:type="dxa" w:w="1300"/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Dividers, list separators, card placeholders</w:t>
            </w:r>
          </w:p>
        </w:tc>
      </w:tr>
    </w:tbl>
    <w:p>
      <w:pPr>
        <w:spacing w:after="120"/>
      </w:pPr>
      <w:r>
        <w:rPr>
          <w:color w:val="6B6B6B"/>
          <w:sz w:val="18"/>
          <w:szCs w:val="18"/>
        </w:rPr>
        <w:t xml:space="preserve">Muted text on light backgrounds uses ~65% black: rgba(20,20,20,.65). On dark backgrounds, secondary text uses white at 75–85% opacity. Borders on dark sections use white at 12–25% opacity.</w:t>
      </w:r>
    </w:p>
    <w:p>
      <w:pPr>
        <w:pStyle w:val="Heading1"/>
      </w:pPr>
      <w:r>
        <w:t xml:space="preserve">3. Typography</w:t>
      </w:r>
    </w:p>
    <w:p>
      <w:pPr>
        <w:pStyle w:val="Heading2"/>
      </w:pPr>
      <w:r>
        <w:t xml:space="preserve">3.1 Typeface</w:t>
      </w:r>
    </w:p>
    <w:p>
      <w:pPr>
        <w:spacing w:after="140"/>
      </w:pPr>
      <w:r>
        <w:t xml:space="preserve">Primary font: a custom self-hosted sans-serif grotesque, served as WOFF2 in four weights — 200 (Extra Light), 300 (Light), 400 (Regular), 500 (Medium). Fallback stack: Arial with ascent/descent and size-adjust overrides (size-adjust 108.61%) for zero layout shift.</w:t>
      </w:r>
    </w:p>
    <w:p>
      <w:pPr>
        <w:spacing w:after="140"/>
      </w:pPr>
      <w:r>
        <w:t xml:space="preserve">Recommended open substitute: “Hanken Grotesk” (or Inter / Geist) — it matches the geometric, slightly humanist proportions and supports the 200–500 weight range. This is what the HTML theme recreation uses.</w:t>
      </w:r>
    </w:p>
    <w:p>
      <w:pPr>
        <w:pStyle w:val="Heading2"/>
      </w:pPr>
      <w:r>
        <w:t xml:space="preserve">3.2 Type Scale (desktop, ~18px root)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50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76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Line-height / notes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 px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Light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1.32 — white, max ~14ch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heading (H2)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53–60 px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300–400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1.2, letter-spacing -0.01em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list item (What We Do)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32–40 px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Light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Hover slides right 1.5rem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title (H4)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px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Medium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1.33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 number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25–42 px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300–500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Body / paragraph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px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1.49 (~23.8px)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 paragraph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18–21 px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Light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category / eyebrow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13–16 px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Uppercase, letter-spacing 0.12–0.18em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 links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px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Subtle hover opacity</w:t>
            </w:r>
          </w:p>
        </w:tc>
      </w:tr>
    </w:tbl>
    <w:p>
      <w:pPr>
        <w:spacing w:after="120"/>
      </w:pPr>
      <w:r>
        <w:rPr>
          <w:color w:val="6B6B6B"/>
          <w:sz w:val="18"/>
          <w:szCs w:val="18"/>
        </w:rPr>
        <w:t xml:space="preserve">Headlines are consistently light-weight (300) and large; body copy is small (16px) and regular. This weight contrast is the signature of the system.</w:t>
      </w:r>
    </w:p>
    <w:p>
      <w:pPr>
        <w:pStyle w:val="Heading1"/>
      </w:pPr>
      <w:r>
        <w:t xml:space="preserve">4. Buttons &amp; Interactive Elements</w:t>
      </w:r>
    </w:p>
    <w:p>
      <w:pPr>
        <w:spacing w:after="140"/>
      </w:pPr>
      <w:r>
        <w:t xml:space="preserve">Buttons are sharp-edged outlined rectangles — no border radius, transparent fill, 1px solid border. On hover they fill with the ink color (#141414) and the label turns white. Two variants by context: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676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(on light)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border 1px #141414 · text #141414 · transparent bg · padding ~17px 33px · font 16px/400 · radius 0 · hover: bg #141414, text #fff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 (on dark)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border 1px #fff · text #fff · hover: bg #fff, text #141414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link + arrow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border/padding · 16px · right-arrow icon that nudges on hover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 CTA (Contact)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1px border current color · padding ~9px 22px · 15px</w:t>
            </w:r>
          </w:p>
        </w:tc>
      </w:tr>
    </w:tbl>
    <w:p>
      <w:pPr>
        <w:spacing w:after="140"/>
      </w:pPr>
      <w:r>
        <w:t xml:space="preserve">Transitions: 0.3s ease on background, color, and border. Cards scale their image to 1.05 on hover; list rows add left padding; arrow icons translate ~8px right.</w:t>
      </w:r>
    </w:p>
    <w:p>
      <w:pPr>
        <w:pStyle w:val="Heading1"/>
      </w:pPr>
      <w:r>
        <w:t xml:space="preserve">5. Layout &amp; Spacing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shd w:fill="14141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~1500px (xxl breakpoint 1600px)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Horizontal gutter</w:t>
            </w:r>
          </w:p>
        </w:tc>
        <w:tc>
          <w:tcPr>
            <w:tcW w:type="dxa" w:w="6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40px desktop · 22px mobile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vertical padding</w:t>
            </w:r>
          </w:p>
        </w:tc>
        <w:tc>
          <w:tcPr>
            <w:tcW w:type="dxa" w:w="6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~90px desktop · 60px mobile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Footer padding</w:t>
            </w:r>
          </w:p>
        </w:tc>
        <w:tc>
          <w:tcPr>
            <w:tcW w:type="dxa" w:w="6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140px top · 80px / 60px bottom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height</w:t>
            </w:r>
          </w:p>
        </w:tc>
        <w:tc>
          <w:tcPr>
            <w:tcW w:type="dxa" w:w="6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75px, fixed, transparent over hero → solid white on scroll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radius</w:t>
            </w:r>
          </w:p>
        </w:tc>
        <w:tc>
          <w:tcPr>
            <w:tcW w:type="dxa" w:w="6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3px (cards/images) · 0px (buttons)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 columns</w:t>
            </w:r>
          </w:p>
        </w:tc>
        <w:tc>
          <w:tcPr>
            <w:tcW w:type="dxa" w:w="6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studies &amp; insights: 3-up → 2-up → 1-up · Clients: 5-up → 3 → 2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6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≤640px · Tablet ≤1024px · xxl 1600px</w:t>
            </w:r>
          </w:p>
        </w:tc>
      </w:tr>
    </w:tbl>
    <w:p>
      <w:pPr>
        <w:pStyle w:val="Heading1"/>
      </w:pPr>
      <w:r>
        <w:t xml:space="preserve">6. Page Structure (Homepage)</w:t>
      </w:r>
    </w:p>
    <w:p>
      <w:pPr>
        <w:spacing w:after="140"/>
      </w:pPr>
      <w:r>
        <w:t xml:space="preserve">The homepage stacks the following sections top to bottom, alternating background tones for rhythm:</w:t>
      </w:r>
    </w:p>
    <w:p>
      <w:pPr>
        <w:spacing w:after="120"/>
      </w:pPr>
      <w:r>
        <w:rPr>
          <w:b/>
          <w:bCs/>
          <w:color w:val="141414"/>
          <w:sz w:val="21"/>
          <w:szCs w:val="21"/>
        </w:rPr>
        <w:t xml:space="preserve">Fixed header: </w:t>
      </w:r>
      <w:r>
        <w:rPr>
          <w:sz w:val="21"/>
          <w:szCs w:val="21"/>
        </w:rPr>
        <w:t xml:space="preserve">Transparent over hero; logo left, centered nav (Services, Solutions, Industries, Works, About, Careers), Contact CTA right. Turns solid white after the hero.</w:t>
      </w:r>
    </w:p>
    <w:p>
      <w:pPr>
        <w:spacing w:after="120"/>
      </w:pPr>
      <w:r>
        <w:rPr>
          <w:b/>
          <w:bCs/>
          <w:color w:val="141414"/>
          <w:sz w:val="21"/>
          <w:szCs w:val="21"/>
        </w:rPr>
        <w:t xml:space="preserve">Hero: </w:t>
      </w:r>
      <w:r>
        <w:rPr>
          <w:sz w:val="21"/>
          <w:szCs w:val="21"/>
        </w:rPr>
        <w:t xml:space="preserve">Full-viewport rotating banner with full-bleed dark imagery, large light-weight white headline, a light outlined CTA with arrow, and a row of slide thumbnails with labels.</w:t>
      </w:r>
    </w:p>
    <w:p>
      <w:pPr>
        <w:spacing w:after="120"/>
      </w:pPr>
      <w:r>
        <w:rPr>
          <w:b/>
          <w:bCs/>
          <w:color w:val="141414"/>
          <w:sz w:val="21"/>
          <w:szCs w:val="21"/>
        </w:rPr>
        <w:t xml:space="preserve">Case Studies: </w:t>
      </w:r>
      <w:r>
        <w:rPr>
          <w:sz w:val="21"/>
          <w:szCs w:val="21"/>
        </w:rPr>
        <w:t xml:space="preserve">Section heading + “View all works” button; 3-column card grid (square image, uppercase category, 20px/500 title).</w:t>
      </w:r>
    </w:p>
    <w:p>
      <w:pPr>
        <w:spacing w:after="120"/>
      </w:pPr>
      <w:r>
        <w:rPr>
          <w:b/>
          <w:bCs/>
          <w:color w:val="141414"/>
          <w:sz w:val="21"/>
          <w:szCs w:val="21"/>
        </w:rPr>
        <w:t xml:space="preserve">Story + Stats (dark): </w:t>
      </w:r>
      <w:r>
        <w:rPr>
          <w:sz w:val="21"/>
          <w:szCs w:val="21"/>
        </w:rPr>
        <w:t xml:space="preserve">Near-black band: “Our Story” copy with About-us button beside a 4-up stat grid (700+, 600+, 450+, 100+).</w:t>
      </w:r>
    </w:p>
    <w:p>
      <w:pPr>
        <w:spacing w:after="120"/>
      </w:pPr>
      <w:r>
        <w:rPr>
          <w:b/>
          <w:bCs/>
          <w:color w:val="141414"/>
          <w:sz w:val="21"/>
          <w:szCs w:val="21"/>
        </w:rPr>
        <w:t xml:space="preserve">What We Do: </w:t>
      </w:r>
      <w:r>
        <w:rPr>
          <w:sz w:val="21"/>
          <w:szCs w:val="21"/>
        </w:rPr>
        <w:t xml:space="preserve">Section heading + button; six large hairline-separated list rows (Strategy + CX, Data + Intelligence, Digital Marketing + Transformation, E-commerce + Accelerators, Innovation + Product Engineering, Platforms + Technology) with hover arrow.</w:t>
      </w:r>
    </w:p>
    <w:p>
      <w:pPr>
        <w:spacing w:after="120"/>
      </w:pPr>
      <w:r>
        <w:rPr>
          <w:b/>
          <w:bCs/>
          <w:color w:val="141414"/>
          <w:sz w:val="21"/>
          <w:szCs w:val="21"/>
        </w:rPr>
        <w:t xml:space="preserve">Gen AI banner: </w:t>
      </w:r>
      <w:r>
        <w:rPr>
          <w:sz w:val="21"/>
          <w:szCs w:val="21"/>
        </w:rPr>
        <w:t xml:space="preserve">Centered light-grey band: heading, lead, “Start with Gen AI” button.</w:t>
      </w:r>
    </w:p>
    <w:p>
      <w:pPr>
        <w:spacing w:after="120"/>
      </w:pPr>
      <w:r>
        <w:rPr>
          <w:b/>
          <w:bCs/>
          <w:color w:val="141414"/>
          <w:sz w:val="21"/>
          <w:szCs w:val="21"/>
        </w:rPr>
        <w:t xml:space="preserve">Clients (dark): </w:t>
      </w:r>
      <w:r>
        <w:rPr>
          <w:sz w:val="21"/>
          <w:szCs w:val="21"/>
        </w:rPr>
        <w:t xml:space="preserve">Near-black logo grid, 5 columns, white (knocked-out) logos in bordered cells.</w:t>
      </w:r>
    </w:p>
    <w:p>
      <w:pPr>
        <w:spacing w:after="120"/>
      </w:pPr>
      <w:r>
        <w:rPr>
          <w:b/>
          <w:bCs/>
          <w:color w:val="141414"/>
          <w:sz w:val="21"/>
          <w:szCs w:val="21"/>
        </w:rPr>
        <w:t xml:space="preserve">Insights: </w:t>
      </w:r>
      <w:r>
        <w:rPr>
          <w:sz w:val="21"/>
          <w:szCs w:val="21"/>
        </w:rPr>
        <w:t xml:space="preserve">3-column blog/news card grid with meta line (type · read time).</w:t>
      </w:r>
    </w:p>
    <w:p>
      <w:pPr>
        <w:spacing w:after="120"/>
      </w:pPr>
      <w:r>
        <w:rPr>
          <w:b/>
          <w:bCs/>
          <w:color w:val="141414"/>
          <w:sz w:val="21"/>
          <w:szCs w:val="21"/>
        </w:rPr>
        <w:t xml:space="preserve">Careers: </w:t>
      </w:r>
      <w:r>
        <w:rPr>
          <w:sz w:val="21"/>
          <w:szCs w:val="21"/>
        </w:rPr>
        <w:t xml:space="preserve">Black full-width band: “You Will Like It Here!” heading, copy, light CTA.</w:t>
      </w:r>
    </w:p>
    <w:p>
      <w:pPr>
        <w:spacing w:after="120"/>
      </w:pPr>
      <w:r>
        <w:rPr>
          <w:b/>
          <w:bCs/>
          <w:color w:val="141414"/>
          <w:sz w:val="21"/>
          <w:szCs w:val="21"/>
        </w:rPr>
        <w:t xml:space="preserve">CTA band: </w:t>
      </w:r>
      <w:r>
        <w:rPr>
          <w:sz w:val="21"/>
          <w:szCs w:val="21"/>
        </w:rPr>
        <w:t xml:space="preserve">Light-grey centered: “Get started now!” + Request a quote button.</w:t>
      </w:r>
    </w:p>
    <w:p>
      <w:pPr>
        <w:spacing w:after="120"/>
      </w:pPr>
      <w:r>
        <w:rPr>
          <w:b/>
          <w:bCs/>
          <w:color w:val="141414"/>
          <w:sz w:val="21"/>
          <w:szCs w:val="21"/>
        </w:rPr>
        <w:t xml:space="preserve">Footer: </w:t>
      </w:r>
      <w:r>
        <w:rPr>
          <w:sz w:val="21"/>
          <w:szCs w:val="21"/>
        </w:rPr>
        <w:t xml:space="preserve">Black, 4-column link grid (Company, Services, Other, Connect) + contact details, copyright row, circular social icons.</w:t>
      </w:r>
    </w:p>
    <w:p>
      <w:pPr>
        <w:pStyle w:val="Heading1"/>
      </w:pPr>
      <w:r>
        <w:t xml:space="preserve">7. Tone &amp; Imagery</w:t>
      </w:r>
    </w:p>
    <w:p>
      <w:pPr>
        <w:spacing w:after="140"/>
      </w:pPr>
      <w:r>
        <w:t xml:space="preserve">Imagery is full-bleed, cinematic, and high-contrast, often with a dark gradient overlay so white type stays legible. Client and partner logos are rendered as single-color (white) knockouts on the dark grid. The overall tone is confident and premium: lots of negative space, oversized light headlines, and restrained, functional UI chrome.</w:t>
      </w:r>
    </w:p>
    <w:p>
      <w:pPr>
        <w:spacing w:after="120"/>
      </w:pPr>
      <w:r>
        <w:rPr>
          <w:color w:val="6B6B6B"/>
          <w:sz w:val="18"/>
          <w:szCs w:val="18"/>
        </w:rPr>
        <w:t xml:space="preserve">Note: This spec documents the visible design system as rendered. The original typeface is a proprietary self-hosted font; the accompanying HTML theme substitutes Hanken Grotesk and pulls the live image assets directly from the WAC CDN.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Webandcrafts — Design &amp; Theme Specification   · 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4141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141414" w:sz="6" w:space="6"/>
      </w:pBdr>
      <w:spacing w:after="160" w:before="320"/>
      <w:outlineLvl w:val="0"/>
    </w:pPr>
    <w:rPr>
      <w:rFonts w:ascii="Arial" w:cs="Arial" w:eastAsia="Arial" w:hAnsi="Arial"/>
      <w:b/>
      <w:bCs/>
      <w:color w:val="1414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414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2026-06-20T06:39:44.194Z</dcterms:created>
  <dcterms:modified xsi:type="dcterms:W3CDTF">2026-06-20T06:39:44.194Z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