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Limitation of Liability cap equals one times annual fees.</w:t>
      </w:r>
    </w:p>
    <w:tbl>
      <w:tr>
        <w:tc>
          <w:p>
            <w:r>
              <w:t>Fee Cap</w:t>
            </w:r>
          </w:p>
        </w:tc>
        <w:tc>
          <w:p>
            <w:r>
              <w:t>100000</w:t>
            </w:r>
          </w:p>
        </w:tc>
      </w:tr>
      <w:tr>
        <w:tc>
          <w:p>
            <w:r>
              <w:t>Term</w:t>
            </w:r>
          </w:p>
        </w:tc>
        <w:tc>
          <w:p>
            <w:r>
              <w:t>12 months</w:t>
            </w:r>
          </w:p>
        </w:tc>
      </w:tr>
    </w:tbl>
    <w:p>
      <w:r>
        <w:drawing>
          <wp:inline xmlns:wp="http://schemas.openxmlformats.org/drawingml/2006/wordprocessingDrawing" xmlns:a="http://schemas.openxmlformats.org/drawingml/2006/main" xmlns:r="http://schemas.openxmlformats.org/officeDocument/2006/relationships">
            <wp:docPr descr="Company Logo" name="Picture 1"/>
            <a:graphic/>
          </wp:inline>
        </w:drawing>
      </w:r>
    </w:p>
    <w:p>
      <w:r>
        <w:t>Payment terms apply.</w:t>
      </w:r>
      <w:r>
        <w:footnoteReference w:id="1"/>
      </w:r>
    </w:p>
  </w:body>
</w:document>
</file>

<file path=word/footnotes.xml><?xml version="1.0" encoding="utf-8"?>
<w:footnotes xmlns:w="http://schemas.openxmlformats.org/wordprocessingml/2006/main">
  <w:footnote w:id="1">
    <w:p>
      <w:r>
        <w:t>Prior footnote references schedule A payment obligations.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