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Limitation of Liability cap equals one times annual fees.</w:t>
      </w:r>
    </w:p>
    <w:tbl>
      <w:tr>
        <w:tc>
          <w:p>
            <w:r>
              <w:t>Fee Cap</w:t>
            </w:r>
          </w:p>
        </w:tc>
        <w:tc>
          <w:p>
            <w:r>
              <w:t>150000</w:t>
            </w:r>
          </w:p>
        </w:tc>
      </w:tr>
      <w:tr>
        <w:tc>
          <w:p>
            <w:r>
              <w:t>Term</w:t>
            </w:r>
          </w:p>
        </w:tc>
        <w:tc>
          <w:p>
            <w:r>
              <w:t>12 months</w:t>
            </w:r>
          </w:p>
        </w:tc>
      </w:tr>
    </w:tbl>
    <w:p>
      <w:r>
        <w:t>Payment terms apply.</w:t>
      </w:r>
      <w:r>
        <w:footnoteReference w:id="1"/>
      </w:r>
    </w:p>
  </w:body>
</w:document>
</file>

<file path=word/footnotes.xml><?xml version="1.0" encoding="utf-8"?>
<w:footnotes xmlns:w="http://schemas.openxmlformats.org/wordprocessingml/2006/main">
  <w:footnote w:id="1">
    <w:p>
      <w:r>
        <w:t>Updated footnote references schedule A and late payment penalties.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