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MASTER SERVICES AGREEMENT - NORTHWIND LABS</w:t>
      </w:r>
    </w:p>
    <w:p>
      <w:r>
        <w:t xml:space="preserve">Limitation of Liability. Except for excluded liabilities, each party's aggregate liability arising out of or related to this Agreement shall not exceed two times (2x) the total fees paid or payable by Customer to Vendor in the twelve (12) months preceding the event giving rise to the claim.</w:t>
      </w:r>
    </w:p>
    <w:p>
      <w:r>
        <w:t xml:space="preserve">Termination. Either party may terminate this Agreement for material breach upon fifteen (15) days written notice if the breach remains uncured.</w:t>
      </w:r>
    </w:p>
    <w:p>
      <w:r>
        <w:t xml:space="preserve">Payment Terms. Customer shall pay undisputed invoices within forty-five (45) days of receipt.</w:t>
      </w:r>
    </w:p>
  </w:body>
</w:document>
</file>