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1 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In the experiment, 4 treatments were applied on 8 different species, and the observations included:</w:t>
      </w:r>
    </w:p>
    <w:p>
      <w:pPr>
        <w:pStyle w:val="Compact"/>
        <w:numPr>
          <w:ilvl w:val="1"/>
          <w:numId w:val="1002"/>
        </w:numPr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pStyle w:val="Compact"/>
        <w:numPr>
          <w:ilvl w:val="0"/>
          <w:numId w:val="1003"/>
        </w:numPr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1.1 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hyperlink w:anchor="tbl-aggregate-summa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by the average of root lengths with standard deviation(SD)</w:t>
      </w:r>
    </w:p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aggregate-summa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Aggregating data and finding average of each parameter by species and treatment</w:t>
            </w:r>
          </w:p>
          <w:p>
            <w:pPr>
              <w:spacing w:before="0" w:after="60"/>
              <w:keepNext/>
              <w:jc w:val="start"/>
              <w:pStyle w:val="caption"/>
            </w:pPr>
            <w:r>
              <w:rPr>
                <w:rFonts w:ascii="Calibri" w:hAnsi="Calibri"/>
                <w:sz w:val="24"/>
              </w:rPr>
              <w:t xml:space="preserve">Table </w:t>
            </w:r>
            <w:r>
              <w:fldChar w:fldCharType="begin" w:dirty="true"/>
            </w:r>
            <w:r>
              <w:instrText xml:space="preserve" w:dirty="true"> SEQ Table \* ARABIC </w:instrText>
            </w:r>
            <w:r>
              <w:fldChar w:fldCharType="separate" w:dirty="true"/>
            </w:r>
            <w:r>
              <w:rPr>
                <w:noProof/>
                <w:rFonts w:ascii="Calibri" w:hAnsi="Calibri"/>
                <w:sz w:val="24"/>
              </w:rPr>
              <w:t xml:space="default">1</w:t>
            </w:r>
            <w:r>
              <w:fldChar w:fldCharType="end" w:dirty="true"/>
            </w:r>
            <w:r>
              <w:rPr>
                <w:rFonts w:ascii="Calibri" w:hAnsi="Calibri"/>
                <w:sz w:val="24"/>
              </w:rPr>
              <w:t xml:space="preserve">: </w:t>
            </w:r>
            <w:r>
              <w:rPr>
                <w:rFonts w:ascii="Calibri" w:hAnsi="Calibri"/>
                <w:sz w:val="24"/>
                <w:color w:val="333333"/>
              </w:rPr>
              <w:t xml:space="default">Thesis Data of the Species</w:t>
            </w:r>
          </w:p>
          <w:p>
            <w:pPr>
              <w:spacing w:before="0" w:after="60"/>
              <w:keepNext/>
              <w:jc w:val="start"/>
              <w:pStyle w:val="caption"/>
            </w:pPr>
            <w:r>
              <w:rPr>
                <w:rFonts w:ascii="Calibri" w:hAnsi="Calibri"/>
                <w:sz w:val="20"/>
                <w:color w:val="333333"/>
              </w:rPr>
              <w:t xml:space="default">Influence of growth regulators on the root generation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number of roots ± 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length of longest roots ± SD (cm)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diameter of  longest roots ± SD (mm)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Bredelia scandens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6.06 ± 2.02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0.89 ± 0.17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± 0.5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6.02 ± 1.26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0.77 ± 0.2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Conidium verigatum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2.89 ± 1.05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4.52 ± 1.1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0.62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7.89 ± 3.62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7.52 ± 2.55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2.44 ± 0.88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4.74 ± 1.09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 ± 0.18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Cyclea pelteta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± 0.71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2.48 ± 0.37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0.18 ± 0.04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5.22 ± 1.39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4.89 ± 1.17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 ± 0.07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8.89 ± 2.03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12.64 ± 3.23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± 0.1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Hemigraphis alternata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 ± 0.33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5.89 ± 0.84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 ± 0.11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2.22 ± 0.83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± 1.58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0.77 ± 0.11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 ± 0.33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5.33 ± 1.93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 ± 0.09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Jasminum Sps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1.89 ± 0.6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± 0.88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 ± 0.05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5.11 ± 1.17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14.82 ± 1.59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 ± 0.19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2.67 ±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12.12 ± 2.27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1.71 ± 0.25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Justicia Sps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3.28 ± 1.24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 ± 0.21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1.89 ± 0.78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8.64 ± 2.41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 ± 0.26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5.47 ± 1.84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1.35 ± 0.23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Rawolfia tetraphylla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 ± 1.13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0.26 ± 0.51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 ± 0.09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1.78 ± 0.97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 ± 2.64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0.36 ± 0.1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4.78 ± 2.17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11.59 ± 4.79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± 0.12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2.67 ± 1.41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10.09 ± 2.34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0.61 ± 0.19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Zizupus rugosa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2.94 ± 1.34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 ± 0.18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4.44 ± 1.59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5.56 ± 2.08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2.22 ± 0.67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4.26 ± 1.11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0.63 ± 0.17</w:t>
                  </w:r>
                </w:p>
              </w:tc>
            </w:tr>
          </w:tbl>
          <w:bookmarkEnd w:id="25"/>
        </w:tc>
      </w:tr>
    </w:tbl>
    <w:bookmarkEnd w:id="26"/>
    <w:bookmarkStart w:id="31" w:name="X7a30c459d90c1fff27272e4cc7d28a795bd2bf7"/>
    <w:p>
      <w:pPr>
        <w:pStyle w:val="Heading3"/>
      </w:pPr>
      <w:r>
        <w:t xml:space="preserve">1.2 Plotting the data for better understanding.</w:t>
      </w:r>
    </w:p>
    <w:p>
      <w:pPr>
        <w:pStyle w:val="Compact"/>
        <w:numPr>
          <w:ilvl w:val="0"/>
          <w:numId w:val="1004"/>
        </w:numPr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treatment-effect"/>
          <w:p>
            <w:pPr>
              <w:pStyle w:val="Compact"/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pStyle w:val="Compact"/>
        <w:numPr>
          <w:ilvl w:val="0"/>
          <w:numId w:val="1005"/>
        </w:numPr>
      </w:pPr>
      <w:r>
        <w:t xml:space="preserve">We can clearly see that</w:t>
      </w:r>
      <w:r>
        <w:t xml:space="preserve"> </w:t>
      </w:r>
      <w:r>
        <w:rPr>
          <w:i/>
          <w:iCs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1.3 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root_length_vs_root_dia-scatterplot"/>
          <w:p>
            <w:pPr>
              <w:pStyle w:val="Compact"/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pStyle w:val="Compact"/>
        <w:numPr>
          <w:ilvl w:val="0"/>
          <w:numId w:val="1006"/>
        </w:numPr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1.4 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/>
          <w:iCs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/>
          <w:iCs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/>
          <w:iCs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/>
          <w:iCs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2024-10-10T14:29:20Z</dcterms:created>
  <dcterms:modified xsi:type="dcterms:W3CDTF">2024-10-10T14:29:20Z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