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7046" w14:textId="77777777" w:rsidR="00100564" w:rsidRDefault="00100564">
      <w:pPr>
        <w:spacing w:before="1600"/>
      </w:pPr>
    </w:p>
    <w:p w14:paraId="37F9EE18" w14:textId="77777777" w:rsidR="00100564" w:rsidRDefault="00000000">
      <w:pPr>
        <w:spacing w:after="100"/>
        <w:jc w:val="center"/>
      </w:pPr>
      <w:r>
        <w:rPr>
          <w:b/>
          <w:bCs/>
          <w:color w:val="1F4E79"/>
          <w:sz w:val="36"/>
          <w:szCs w:val="36"/>
        </w:rPr>
        <w:t>Evaluation of Attack Surface Created by</w:t>
      </w:r>
    </w:p>
    <w:p w14:paraId="0A2FDF32" w14:textId="77777777" w:rsidR="00100564" w:rsidRDefault="00000000">
      <w:pPr>
        <w:spacing w:after="300"/>
        <w:jc w:val="center"/>
      </w:pPr>
      <w:r>
        <w:rPr>
          <w:b/>
          <w:bCs/>
          <w:color w:val="1F4E79"/>
          <w:sz w:val="36"/>
          <w:szCs w:val="36"/>
        </w:rPr>
        <w:t>Remote Access Services in Enterprise Networks</w:t>
      </w:r>
    </w:p>
    <w:p w14:paraId="699237C9" w14:textId="77777777" w:rsidR="00100564" w:rsidRDefault="00000000">
      <w:pPr>
        <w:spacing w:after="1200"/>
        <w:jc w:val="center"/>
      </w:pPr>
      <w:r>
        <w:rPr>
          <w:i/>
          <w:iCs/>
          <w:color w:val="2E74B5"/>
          <w:sz w:val="26"/>
          <w:szCs w:val="26"/>
        </w:rPr>
        <w:t>A Case Study</w:t>
      </w:r>
    </w:p>
    <w:p w14:paraId="297303D2" w14:textId="77777777" w:rsidR="00100564" w:rsidRDefault="00000000">
      <w:pPr>
        <w:spacing w:after="100"/>
        <w:jc w:val="center"/>
      </w:pPr>
      <w:r>
        <w:t>Submitted as part of coursework requirements</w:t>
      </w:r>
    </w:p>
    <w:p w14:paraId="4C85A2C3" w14:textId="6EB96B50" w:rsidR="00BA6512" w:rsidRDefault="00BA6512">
      <w:pPr>
        <w:spacing w:after="100"/>
        <w:jc w:val="center"/>
      </w:pPr>
      <w:r>
        <w:t>AJAYYY U</w:t>
      </w:r>
    </w:p>
    <w:p w14:paraId="4C67A6D6" w14:textId="184EFB03" w:rsidR="00BA6512" w:rsidRDefault="00BA6512">
      <w:pPr>
        <w:spacing w:after="100"/>
        <w:jc w:val="center"/>
      </w:pPr>
      <w:r>
        <w:t>192421237</w:t>
      </w:r>
    </w:p>
    <w:p w14:paraId="3C66550C" w14:textId="443B3836" w:rsidR="00100564" w:rsidRDefault="00000000">
      <w:pPr>
        <w:spacing w:after="100"/>
        <w:jc w:val="center"/>
      </w:pPr>
      <w:r>
        <w:t xml:space="preserve">Subject: </w:t>
      </w:r>
      <w:r w:rsidR="00BA6512">
        <w:t xml:space="preserve">DEVSECOPS </w:t>
      </w:r>
    </w:p>
    <w:p w14:paraId="3CD98B52" w14:textId="57A75177" w:rsidR="00100564" w:rsidRDefault="00000000">
      <w:pPr>
        <w:jc w:val="center"/>
      </w:pPr>
      <w:r>
        <w:t xml:space="preserve">Date: </w:t>
      </w:r>
      <w:r w:rsidR="00BA6512">
        <w:t xml:space="preserve">30 </w:t>
      </w:r>
      <w:r>
        <w:t>July 2026</w:t>
      </w:r>
    </w:p>
    <w:p w14:paraId="00C29A17" w14:textId="77777777" w:rsidR="00100564" w:rsidRDefault="00000000">
      <w:r>
        <w:br w:type="page"/>
      </w:r>
    </w:p>
    <w:p w14:paraId="449E1AE7" w14:textId="77777777" w:rsidR="00100564" w:rsidRDefault="00000000">
      <w:pPr>
        <w:pStyle w:val="Heading1"/>
      </w:pPr>
      <w:r>
        <w:lastRenderedPageBreak/>
        <w:t>Abstract</w:t>
      </w:r>
    </w:p>
    <w:p w14:paraId="007AF2C1" w14:textId="77777777" w:rsidR="00100564" w:rsidRDefault="00000000">
      <w:pPr>
        <w:spacing w:after="160" w:line="300" w:lineRule="auto"/>
        <w:jc w:val="both"/>
      </w:pPr>
      <w:r>
        <w:t>Remote access services — including Virtual Private Networks (VPNs), Remote Desktop Protocol (RDP), Secure Shell (SSH), and cloud-based Virtual Desktop Infrastructure (</w:t>
      </w:r>
      <w:proofErr w:type="gramStart"/>
      <w:r>
        <w:t>VDI) —</w:t>
      </w:r>
      <w:proofErr w:type="gramEnd"/>
      <w:r>
        <w:t xml:space="preserve"> allow employees, vendors, and administrators to connect to enterprise networks from outside the corporate perimeter. While these services are essential for modern hybrid and remote work models, each exposed access point widens the organization's attack surface and creates opportunities for credential theft, lateral movement, and unauthorized data access. This case study evaluates the attack surface introduced by remote access services in a mid-sized enterprise network, referred to as "</w:t>
      </w:r>
      <w:proofErr w:type="spellStart"/>
      <w:r>
        <w:t>NovaTech</w:t>
      </w:r>
      <w:proofErr w:type="spellEnd"/>
      <w:r>
        <w:t xml:space="preserve"> Solutions" for the purposes of this analysis. Using a structured risk-assessment approach, the study identifies exposed services, maps them to known vulnerability classes, evaluates the likelihood and impact of exploitation, and proposes a prioritized set of mitigations. The findings show that unpatched RDP endpoints, weak multi-factor authentication (MFA) coverage, and legacy VPN configurations were the dominant contributors to the organization's overall external risk exposure. The study concludes with a set of practical recommendations aligned with recognized security frameworks such as the NIST Cybersecurity Framework and the Zero Trust Architecture model.</w:t>
      </w:r>
    </w:p>
    <w:p w14:paraId="07BF8519" w14:textId="77777777" w:rsidR="00100564" w:rsidRDefault="00000000">
      <w:pPr>
        <w:pStyle w:val="Heading1"/>
      </w:pPr>
      <w:r>
        <w:t>1. Introduction</w:t>
      </w:r>
    </w:p>
    <w:p w14:paraId="5961BF49" w14:textId="77777777" w:rsidR="00100564" w:rsidRDefault="00000000">
      <w:pPr>
        <w:spacing w:after="160" w:line="300" w:lineRule="auto"/>
        <w:jc w:val="both"/>
      </w:pPr>
      <w:r>
        <w:t>The shift toward remote and hybrid work has made remote access services a permanent fixture of enterprise IT infrastructure. Services such as VPN gateways, RDP servers, SSH endpoints, and cloud-hosted virtual desktops allow distributed workforces to reach internal resources from anywhere. However, every remote access point is also a potential entry point for attackers. Industry incident reports consistently identify exposed remote access services as one of the leading initial-access vectors used in ransomware and data-breach campaigns.</w:t>
      </w:r>
    </w:p>
    <w:p w14:paraId="15F4497F" w14:textId="77777777" w:rsidR="00100564" w:rsidRDefault="00000000">
      <w:pPr>
        <w:spacing w:after="160" w:line="300" w:lineRule="auto"/>
        <w:jc w:val="both"/>
      </w:pPr>
      <w:r>
        <w:t xml:space="preserve">The term "attack surface" refers to the sum of all points where an unauthorized user could attempt to enter or extract data from a system. For remote access services specifically, the attack surface includes exposed network ports, authentication mechanisms, session-management processes, and the underlying software stack that handles remote connections. This case study aims to evaluate </w:t>
      </w:r>
      <w:proofErr w:type="gramStart"/>
      <w:r>
        <w:t>that</w:t>
      </w:r>
      <w:proofErr w:type="gramEnd"/>
      <w:r>
        <w:t xml:space="preserve"> attack surface in a realistic enterprise setting and to demonstrate how a structured assessment methodology can be applied to identify and prioritize risk.</w:t>
      </w:r>
    </w:p>
    <w:p w14:paraId="57B45391" w14:textId="77777777" w:rsidR="00100564" w:rsidRDefault="00000000">
      <w:pPr>
        <w:pStyle w:val="Heading2"/>
        <w:spacing w:before="200"/>
      </w:pPr>
      <w:r>
        <w:t>1.1 Objectives</w:t>
      </w:r>
    </w:p>
    <w:p w14:paraId="3BF6D7FD" w14:textId="77777777" w:rsidR="00100564" w:rsidRDefault="00000000">
      <w:pPr>
        <w:pStyle w:val="ListParagraph"/>
        <w:numPr>
          <w:ilvl w:val="0"/>
          <w:numId w:val="2"/>
        </w:numPr>
        <w:spacing w:after="80" w:line="280" w:lineRule="auto"/>
      </w:pPr>
      <w:r>
        <w:t>To identify the remote access services deployed across a representative enterprise network.</w:t>
      </w:r>
    </w:p>
    <w:p w14:paraId="07C8D77C" w14:textId="77777777" w:rsidR="00100564" w:rsidRDefault="00000000">
      <w:pPr>
        <w:pStyle w:val="ListParagraph"/>
        <w:numPr>
          <w:ilvl w:val="0"/>
          <w:numId w:val="2"/>
        </w:numPr>
        <w:spacing w:after="80" w:line="280" w:lineRule="auto"/>
      </w:pPr>
      <w:r>
        <w:t>To map each service to its associated attack surface components and known vulnerability classes.</w:t>
      </w:r>
    </w:p>
    <w:p w14:paraId="3EFF69F8" w14:textId="77777777" w:rsidR="00100564" w:rsidRDefault="00000000">
      <w:pPr>
        <w:pStyle w:val="ListParagraph"/>
        <w:numPr>
          <w:ilvl w:val="0"/>
          <w:numId w:val="2"/>
        </w:numPr>
        <w:spacing w:after="80" w:line="280" w:lineRule="auto"/>
      </w:pPr>
      <w:r>
        <w:t>To evaluate the likelihood and business impact of exploitation for each identified risk.</w:t>
      </w:r>
    </w:p>
    <w:p w14:paraId="6791123A" w14:textId="77777777" w:rsidR="00100564" w:rsidRDefault="00000000">
      <w:pPr>
        <w:pStyle w:val="ListParagraph"/>
        <w:numPr>
          <w:ilvl w:val="0"/>
          <w:numId w:val="2"/>
        </w:numPr>
        <w:spacing w:after="80" w:line="280" w:lineRule="auto"/>
      </w:pPr>
      <w:r>
        <w:t>To recommend prioritized, practical mitigation measures.</w:t>
      </w:r>
    </w:p>
    <w:p w14:paraId="437531AF" w14:textId="77777777" w:rsidR="00100564" w:rsidRDefault="00000000">
      <w:pPr>
        <w:pStyle w:val="Heading1"/>
      </w:pPr>
      <w:r>
        <w:lastRenderedPageBreak/>
        <w:t>2. Background</w:t>
      </w:r>
    </w:p>
    <w:p w14:paraId="01FFCEA9" w14:textId="77777777" w:rsidR="00100564" w:rsidRDefault="00000000">
      <w:pPr>
        <w:spacing w:after="160" w:line="300" w:lineRule="auto"/>
        <w:jc w:val="both"/>
      </w:pPr>
      <w:r>
        <w:t>Enterprise networks typically rely on a combination of the following remote access technologies, each with a distinct risk profile:</w:t>
      </w:r>
    </w:p>
    <w:p w14:paraId="4DA7D2D4" w14:textId="77777777" w:rsidR="00100564" w:rsidRDefault="00000000">
      <w:pPr>
        <w:pStyle w:val="ListParagraph"/>
        <w:numPr>
          <w:ilvl w:val="0"/>
          <w:numId w:val="1"/>
        </w:numPr>
        <w:spacing w:after="80" w:line="280" w:lineRule="auto"/>
      </w:pPr>
      <w:r>
        <w:t>Virtual Private Networks (</w:t>
      </w:r>
      <w:proofErr w:type="gramStart"/>
      <w:r>
        <w:t>VPN) —</w:t>
      </w:r>
      <w:proofErr w:type="gramEnd"/>
      <w:r>
        <w:t xml:space="preserve"> encrypted tunnels (IPsec or SSL/TLS based) that extend the internal network to remote users.</w:t>
      </w:r>
    </w:p>
    <w:p w14:paraId="3A4FFA04" w14:textId="77777777" w:rsidR="00100564" w:rsidRDefault="00000000">
      <w:pPr>
        <w:pStyle w:val="ListParagraph"/>
        <w:numPr>
          <w:ilvl w:val="0"/>
          <w:numId w:val="1"/>
        </w:numPr>
        <w:spacing w:after="80" w:line="280" w:lineRule="auto"/>
      </w:pPr>
      <w:r>
        <w:t>Remote Desktop Protocol (</w:t>
      </w:r>
      <w:proofErr w:type="gramStart"/>
      <w:r>
        <w:t>RDP) —</w:t>
      </w:r>
      <w:proofErr w:type="gramEnd"/>
      <w:r>
        <w:t xml:space="preserve"> allows graphical remote control of Windows systems, historically a frequent ransomware entry point when exposed directly to the internet.</w:t>
      </w:r>
    </w:p>
    <w:p w14:paraId="2937449F" w14:textId="77777777" w:rsidR="00100564" w:rsidRDefault="00000000">
      <w:pPr>
        <w:pStyle w:val="ListParagraph"/>
        <w:numPr>
          <w:ilvl w:val="0"/>
          <w:numId w:val="1"/>
        </w:numPr>
        <w:spacing w:after="80" w:line="280" w:lineRule="auto"/>
      </w:pPr>
      <w:r>
        <w:t>Secure Shell (</w:t>
      </w:r>
      <w:proofErr w:type="gramStart"/>
      <w:r>
        <w:t>SSH) —</w:t>
      </w:r>
      <w:proofErr w:type="gramEnd"/>
      <w:r>
        <w:t xml:space="preserve"> command-line remote access primarily used for server and network-device administration.</w:t>
      </w:r>
    </w:p>
    <w:p w14:paraId="48504115" w14:textId="77777777" w:rsidR="00100564" w:rsidRDefault="00000000">
      <w:pPr>
        <w:pStyle w:val="ListParagraph"/>
        <w:numPr>
          <w:ilvl w:val="0"/>
          <w:numId w:val="1"/>
        </w:numPr>
        <w:spacing w:after="80" w:line="280" w:lineRule="auto"/>
      </w:pPr>
      <w:r>
        <w:t>Virtual Desktop Infrastructure (VDI) / Desktop-as-a-Service — cloud-hosted desktop environments accessed through a broker service.</w:t>
      </w:r>
    </w:p>
    <w:p w14:paraId="49DD9ABF" w14:textId="77777777" w:rsidR="00100564" w:rsidRDefault="00000000">
      <w:pPr>
        <w:pStyle w:val="ListParagraph"/>
        <w:numPr>
          <w:ilvl w:val="0"/>
          <w:numId w:val="1"/>
        </w:numPr>
        <w:spacing w:after="80" w:line="280" w:lineRule="auto"/>
      </w:pPr>
      <w:r>
        <w:t>Third-party and vendor remote support tools — software used by IT vendors or managed service providers to access internal systems for maintenance.</w:t>
      </w:r>
    </w:p>
    <w:p w14:paraId="55865C3D" w14:textId="77777777" w:rsidR="00100564" w:rsidRDefault="00000000">
      <w:pPr>
        <w:spacing w:after="160" w:line="300" w:lineRule="auto"/>
        <w:jc w:val="both"/>
      </w:pPr>
      <w:r>
        <w:t>Publicly reported breach investigations have repeatedly identified exposed RDP and poorly configured VPN gateways as leading initial-access techniques, particularly when combined with weak or reused passwords and the absence of multi-factor authentication. This background motivates the need for a structured, service-by-service evaluation of the attack surface rather than a purely perimeter-level assessment.</w:t>
      </w:r>
    </w:p>
    <w:p w14:paraId="1E8D7B9C" w14:textId="77777777" w:rsidR="00100564" w:rsidRDefault="00000000">
      <w:pPr>
        <w:pStyle w:val="Heading1"/>
      </w:pPr>
      <w:r>
        <w:t>3. Case Study: Organization Profile</w:t>
      </w:r>
    </w:p>
    <w:p w14:paraId="34CBD548" w14:textId="77777777" w:rsidR="00100564" w:rsidRDefault="00000000">
      <w:pPr>
        <w:spacing w:after="160" w:line="300" w:lineRule="auto"/>
        <w:jc w:val="both"/>
      </w:pPr>
      <w:r>
        <w:t>For this evaluation, we consider "</w:t>
      </w:r>
      <w:proofErr w:type="spellStart"/>
      <w:r>
        <w:t>NovaTech</w:t>
      </w:r>
      <w:proofErr w:type="spellEnd"/>
      <w:r>
        <w:t xml:space="preserve"> Solutions," a fictional mid-sized enterprise with approximately 1,200 employees across three office locations and a growing remote workforce (approximately 40% of staff work remotely at least three days per week). </w:t>
      </w:r>
      <w:proofErr w:type="spellStart"/>
      <w:r>
        <w:t>NovaTech's</w:t>
      </w:r>
      <w:proofErr w:type="spellEnd"/>
      <w:r>
        <w:t xml:space="preserve"> IT environment includes a mix of on-premises servers, a private data center, and Microsoft Azure cloud workloads.</w:t>
      </w:r>
    </w:p>
    <w:p w14:paraId="0AC1FB2F" w14:textId="77777777" w:rsidR="00100564" w:rsidRDefault="00000000">
      <w:pPr>
        <w:pStyle w:val="Heading2"/>
        <w:spacing w:before="200"/>
      </w:pPr>
      <w:r>
        <w:t>3.1 Remote Access Environment</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600"/>
        <w:gridCol w:w="2600"/>
      </w:tblGrid>
      <w:tr w:rsidR="00100564" w14:paraId="66A39C56" w14:textId="77777777">
        <w:tblPrEx>
          <w:tblCellMar>
            <w:top w:w="0" w:type="dxa"/>
            <w:bottom w:w="0" w:type="dxa"/>
          </w:tblCellMar>
        </w:tblPrEx>
        <w:trPr>
          <w:tblHeader/>
        </w:trPr>
        <w:tc>
          <w:tcPr>
            <w:tcW w:w="2600" w:type="dxa"/>
            <w:shd w:val="clear" w:color="auto" w:fill="1F4E79"/>
            <w:tcMar>
              <w:top w:w="100" w:type="dxa"/>
              <w:left w:w="100" w:type="dxa"/>
              <w:bottom w:w="100" w:type="dxa"/>
              <w:right w:w="100" w:type="dxa"/>
            </w:tcMar>
          </w:tcPr>
          <w:p w14:paraId="4ECDED40" w14:textId="77777777" w:rsidR="00100564" w:rsidRDefault="00000000">
            <w:r>
              <w:rPr>
                <w:b/>
                <w:bCs/>
                <w:color w:val="FFFFFF"/>
                <w:sz w:val="20"/>
                <w:szCs w:val="20"/>
              </w:rPr>
              <w:t>Service</w:t>
            </w:r>
          </w:p>
        </w:tc>
        <w:tc>
          <w:tcPr>
            <w:tcW w:w="3400" w:type="dxa"/>
            <w:shd w:val="clear" w:color="auto" w:fill="1F4E79"/>
            <w:tcMar>
              <w:top w:w="100" w:type="dxa"/>
              <w:left w:w="100" w:type="dxa"/>
              <w:bottom w:w="100" w:type="dxa"/>
              <w:right w:w="100" w:type="dxa"/>
            </w:tcMar>
          </w:tcPr>
          <w:p w14:paraId="4D138C69" w14:textId="77777777" w:rsidR="00100564" w:rsidRDefault="00000000">
            <w:r>
              <w:rPr>
                <w:b/>
                <w:bCs/>
                <w:color w:val="FFFFFF"/>
                <w:sz w:val="20"/>
                <w:szCs w:val="20"/>
              </w:rPr>
              <w:t>Purpose</w:t>
            </w:r>
          </w:p>
        </w:tc>
        <w:tc>
          <w:tcPr>
            <w:tcW w:w="2600" w:type="dxa"/>
            <w:shd w:val="clear" w:color="auto" w:fill="1F4E79"/>
            <w:tcMar>
              <w:top w:w="100" w:type="dxa"/>
              <w:left w:w="100" w:type="dxa"/>
              <w:bottom w:w="100" w:type="dxa"/>
              <w:right w:w="100" w:type="dxa"/>
            </w:tcMar>
          </w:tcPr>
          <w:p w14:paraId="01FE8206" w14:textId="77777777" w:rsidR="00100564" w:rsidRDefault="00000000">
            <w:r>
              <w:rPr>
                <w:b/>
                <w:bCs/>
                <w:color w:val="FFFFFF"/>
                <w:sz w:val="20"/>
                <w:szCs w:val="20"/>
              </w:rPr>
              <w:t>Exposure</w:t>
            </w:r>
          </w:p>
        </w:tc>
        <w:tc>
          <w:tcPr>
            <w:tcW w:w="2600" w:type="dxa"/>
            <w:shd w:val="clear" w:color="auto" w:fill="1F4E79"/>
            <w:tcMar>
              <w:top w:w="100" w:type="dxa"/>
              <w:left w:w="100" w:type="dxa"/>
              <w:bottom w:w="100" w:type="dxa"/>
              <w:right w:w="100" w:type="dxa"/>
            </w:tcMar>
          </w:tcPr>
          <w:p w14:paraId="1BCEC68C" w14:textId="77777777" w:rsidR="00100564" w:rsidRDefault="00000000">
            <w:r>
              <w:rPr>
                <w:b/>
                <w:bCs/>
                <w:color w:val="FFFFFF"/>
                <w:sz w:val="20"/>
                <w:szCs w:val="20"/>
              </w:rPr>
              <w:t>Authentication</w:t>
            </w:r>
          </w:p>
        </w:tc>
      </w:tr>
      <w:tr w:rsidR="00100564" w14:paraId="14F91EE8" w14:textId="77777777">
        <w:tblPrEx>
          <w:tblCellMar>
            <w:top w:w="0" w:type="dxa"/>
            <w:bottom w:w="0" w:type="dxa"/>
          </w:tblCellMar>
        </w:tblPrEx>
        <w:tc>
          <w:tcPr>
            <w:tcW w:w="2600" w:type="dxa"/>
            <w:tcMar>
              <w:top w:w="100" w:type="dxa"/>
              <w:left w:w="100" w:type="dxa"/>
              <w:bottom w:w="100" w:type="dxa"/>
              <w:right w:w="100" w:type="dxa"/>
            </w:tcMar>
          </w:tcPr>
          <w:p w14:paraId="2DB177EB" w14:textId="77777777" w:rsidR="00100564" w:rsidRDefault="00000000">
            <w:r>
              <w:rPr>
                <w:sz w:val="20"/>
                <w:szCs w:val="20"/>
              </w:rPr>
              <w:t>SSL VPN Gateway</w:t>
            </w:r>
          </w:p>
        </w:tc>
        <w:tc>
          <w:tcPr>
            <w:tcW w:w="3400" w:type="dxa"/>
            <w:tcMar>
              <w:top w:w="100" w:type="dxa"/>
              <w:left w:w="100" w:type="dxa"/>
              <w:bottom w:w="100" w:type="dxa"/>
              <w:right w:w="100" w:type="dxa"/>
            </w:tcMar>
          </w:tcPr>
          <w:p w14:paraId="0C5242B3" w14:textId="77777777" w:rsidR="00100564" w:rsidRDefault="00000000">
            <w:r>
              <w:rPr>
                <w:sz w:val="20"/>
                <w:szCs w:val="20"/>
              </w:rPr>
              <w:t>General employee remote access to internal apps</w:t>
            </w:r>
          </w:p>
        </w:tc>
        <w:tc>
          <w:tcPr>
            <w:tcW w:w="2600" w:type="dxa"/>
            <w:tcMar>
              <w:top w:w="100" w:type="dxa"/>
              <w:left w:w="100" w:type="dxa"/>
              <w:bottom w:w="100" w:type="dxa"/>
              <w:right w:w="100" w:type="dxa"/>
            </w:tcMar>
          </w:tcPr>
          <w:p w14:paraId="4AD575B7" w14:textId="77777777" w:rsidR="00100564" w:rsidRDefault="00000000">
            <w:r>
              <w:rPr>
                <w:sz w:val="20"/>
                <w:szCs w:val="20"/>
              </w:rPr>
              <w:t>Internet-facing</w:t>
            </w:r>
          </w:p>
        </w:tc>
        <w:tc>
          <w:tcPr>
            <w:tcW w:w="2600" w:type="dxa"/>
            <w:tcMar>
              <w:top w:w="100" w:type="dxa"/>
              <w:left w:w="100" w:type="dxa"/>
              <w:bottom w:w="100" w:type="dxa"/>
              <w:right w:w="100" w:type="dxa"/>
            </w:tcMar>
          </w:tcPr>
          <w:p w14:paraId="7A11B928" w14:textId="77777777" w:rsidR="00100564" w:rsidRDefault="00000000">
            <w:r>
              <w:rPr>
                <w:sz w:val="20"/>
                <w:szCs w:val="20"/>
              </w:rPr>
              <w:t>Username/password; MFA optional</w:t>
            </w:r>
          </w:p>
        </w:tc>
      </w:tr>
      <w:tr w:rsidR="00100564" w14:paraId="176B196F" w14:textId="77777777">
        <w:tblPrEx>
          <w:tblCellMar>
            <w:top w:w="0" w:type="dxa"/>
            <w:bottom w:w="0" w:type="dxa"/>
          </w:tblCellMar>
        </w:tblPrEx>
        <w:tc>
          <w:tcPr>
            <w:tcW w:w="2600" w:type="dxa"/>
            <w:tcMar>
              <w:top w:w="100" w:type="dxa"/>
              <w:left w:w="100" w:type="dxa"/>
              <w:bottom w:w="100" w:type="dxa"/>
              <w:right w:w="100" w:type="dxa"/>
            </w:tcMar>
          </w:tcPr>
          <w:p w14:paraId="342368FF" w14:textId="77777777" w:rsidR="00100564" w:rsidRDefault="00000000">
            <w:r>
              <w:rPr>
                <w:sz w:val="20"/>
                <w:szCs w:val="20"/>
              </w:rPr>
              <w:t>RDP (Jump Server)</w:t>
            </w:r>
          </w:p>
        </w:tc>
        <w:tc>
          <w:tcPr>
            <w:tcW w:w="3400" w:type="dxa"/>
            <w:tcMar>
              <w:top w:w="100" w:type="dxa"/>
              <w:left w:w="100" w:type="dxa"/>
              <w:bottom w:w="100" w:type="dxa"/>
              <w:right w:w="100" w:type="dxa"/>
            </w:tcMar>
          </w:tcPr>
          <w:p w14:paraId="4D7FD9C0" w14:textId="77777777" w:rsidR="00100564" w:rsidRDefault="00000000">
            <w:r>
              <w:rPr>
                <w:sz w:val="20"/>
                <w:szCs w:val="20"/>
              </w:rPr>
              <w:t>IT administrator access to internal servers</w:t>
            </w:r>
          </w:p>
        </w:tc>
        <w:tc>
          <w:tcPr>
            <w:tcW w:w="2600" w:type="dxa"/>
            <w:tcMar>
              <w:top w:w="100" w:type="dxa"/>
              <w:left w:w="100" w:type="dxa"/>
              <w:bottom w:w="100" w:type="dxa"/>
              <w:right w:w="100" w:type="dxa"/>
            </w:tcMar>
          </w:tcPr>
          <w:p w14:paraId="3CD16FCB" w14:textId="77777777" w:rsidR="00100564" w:rsidRDefault="00000000">
            <w:r>
              <w:rPr>
                <w:sz w:val="20"/>
                <w:szCs w:val="20"/>
              </w:rPr>
              <w:t>Internet-facing (direct)</w:t>
            </w:r>
          </w:p>
        </w:tc>
        <w:tc>
          <w:tcPr>
            <w:tcW w:w="2600" w:type="dxa"/>
            <w:tcMar>
              <w:top w:w="100" w:type="dxa"/>
              <w:left w:w="100" w:type="dxa"/>
              <w:bottom w:w="100" w:type="dxa"/>
              <w:right w:w="100" w:type="dxa"/>
            </w:tcMar>
          </w:tcPr>
          <w:p w14:paraId="49BA9ECE" w14:textId="77777777" w:rsidR="00100564" w:rsidRDefault="00000000">
            <w:r>
              <w:rPr>
                <w:sz w:val="20"/>
                <w:szCs w:val="20"/>
              </w:rPr>
              <w:t>Local Windows credentials; no MFA</w:t>
            </w:r>
          </w:p>
        </w:tc>
      </w:tr>
      <w:tr w:rsidR="00100564" w14:paraId="342373F5" w14:textId="77777777">
        <w:tblPrEx>
          <w:tblCellMar>
            <w:top w:w="0" w:type="dxa"/>
            <w:bottom w:w="0" w:type="dxa"/>
          </w:tblCellMar>
        </w:tblPrEx>
        <w:tc>
          <w:tcPr>
            <w:tcW w:w="2600" w:type="dxa"/>
            <w:tcMar>
              <w:top w:w="100" w:type="dxa"/>
              <w:left w:w="100" w:type="dxa"/>
              <w:bottom w:w="100" w:type="dxa"/>
              <w:right w:w="100" w:type="dxa"/>
            </w:tcMar>
          </w:tcPr>
          <w:p w14:paraId="02BB6D94" w14:textId="77777777" w:rsidR="00100564" w:rsidRDefault="00000000">
            <w:r>
              <w:rPr>
                <w:sz w:val="20"/>
                <w:szCs w:val="20"/>
              </w:rPr>
              <w:t>SSH</w:t>
            </w:r>
          </w:p>
        </w:tc>
        <w:tc>
          <w:tcPr>
            <w:tcW w:w="3400" w:type="dxa"/>
            <w:tcMar>
              <w:top w:w="100" w:type="dxa"/>
              <w:left w:w="100" w:type="dxa"/>
              <w:bottom w:w="100" w:type="dxa"/>
              <w:right w:w="100" w:type="dxa"/>
            </w:tcMar>
          </w:tcPr>
          <w:p w14:paraId="6B67675B" w14:textId="77777777" w:rsidR="00100564" w:rsidRDefault="00000000">
            <w:r>
              <w:rPr>
                <w:sz w:val="20"/>
                <w:szCs w:val="20"/>
              </w:rPr>
              <w:t>Server and network device administration</w:t>
            </w:r>
          </w:p>
        </w:tc>
        <w:tc>
          <w:tcPr>
            <w:tcW w:w="2600" w:type="dxa"/>
            <w:tcMar>
              <w:top w:w="100" w:type="dxa"/>
              <w:left w:w="100" w:type="dxa"/>
              <w:bottom w:w="100" w:type="dxa"/>
              <w:right w:w="100" w:type="dxa"/>
            </w:tcMar>
          </w:tcPr>
          <w:p w14:paraId="78F50EC9" w14:textId="77777777" w:rsidR="00100564" w:rsidRDefault="00000000">
            <w:r>
              <w:rPr>
                <w:sz w:val="20"/>
                <w:szCs w:val="20"/>
              </w:rPr>
              <w:t>Internal only, via VPN</w:t>
            </w:r>
          </w:p>
        </w:tc>
        <w:tc>
          <w:tcPr>
            <w:tcW w:w="2600" w:type="dxa"/>
            <w:tcMar>
              <w:top w:w="100" w:type="dxa"/>
              <w:left w:w="100" w:type="dxa"/>
              <w:bottom w:w="100" w:type="dxa"/>
              <w:right w:w="100" w:type="dxa"/>
            </w:tcMar>
          </w:tcPr>
          <w:p w14:paraId="6C45282F" w14:textId="77777777" w:rsidR="00100564" w:rsidRDefault="00000000">
            <w:r>
              <w:rPr>
                <w:sz w:val="20"/>
                <w:szCs w:val="20"/>
              </w:rPr>
              <w:t>Key-based, partially enforced</w:t>
            </w:r>
          </w:p>
        </w:tc>
      </w:tr>
      <w:tr w:rsidR="00100564" w14:paraId="335D0A37" w14:textId="77777777">
        <w:tblPrEx>
          <w:tblCellMar>
            <w:top w:w="0" w:type="dxa"/>
            <w:bottom w:w="0" w:type="dxa"/>
          </w:tblCellMar>
        </w:tblPrEx>
        <w:tc>
          <w:tcPr>
            <w:tcW w:w="2600" w:type="dxa"/>
            <w:tcMar>
              <w:top w:w="100" w:type="dxa"/>
              <w:left w:w="100" w:type="dxa"/>
              <w:bottom w:w="100" w:type="dxa"/>
              <w:right w:w="100" w:type="dxa"/>
            </w:tcMar>
          </w:tcPr>
          <w:p w14:paraId="4F245299" w14:textId="77777777" w:rsidR="00100564" w:rsidRDefault="00000000">
            <w:r>
              <w:rPr>
                <w:sz w:val="20"/>
                <w:szCs w:val="20"/>
              </w:rPr>
              <w:t>Azure VDI</w:t>
            </w:r>
          </w:p>
        </w:tc>
        <w:tc>
          <w:tcPr>
            <w:tcW w:w="3400" w:type="dxa"/>
            <w:tcMar>
              <w:top w:w="100" w:type="dxa"/>
              <w:left w:w="100" w:type="dxa"/>
              <w:bottom w:w="100" w:type="dxa"/>
              <w:right w:w="100" w:type="dxa"/>
            </w:tcMar>
          </w:tcPr>
          <w:p w14:paraId="3F819432" w14:textId="77777777" w:rsidR="00100564" w:rsidRDefault="00000000">
            <w:r>
              <w:rPr>
                <w:sz w:val="20"/>
                <w:szCs w:val="20"/>
              </w:rPr>
              <w:t>Contractor and BYOD access to virtual desktops</w:t>
            </w:r>
          </w:p>
        </w:tc>
        <w:tc>
          <w:tcPr>
            <w:tcW w:w="2600" w:type="dxa"/>
            <w:tcMar>
              <w:top w:w="100" w:type="dxa"/>
              <w:left w:w="100" w:type="dxa"/>
              <w:bottom w:w="100" w:type="dxa"/>
              <w:right w:w="100" w:type="dxa"/>
            </w:tcMar>
          </w:tcPr>
          <w:p w14:paraId="691F091E" w14:textId="77777777" w:rsidR="00100564" w:rsidRDefault="00000000">
            <w:r>
              <w:rPr>
                <w:sz w:val="20"/>
                <w:szCs w:val="20"/>
              </w:rPr>
              <w:t>Internet-facing (cloud broker)</w:t>
            </w:r>
          </w:p>
        </w:tc>
        <w:tc>
          <w:tcPr>
            <w:tcW w:w="2600" w:type="dxa"/>
            <w:tcMar>
              <w:top w:w="100" w:type="dxa"/>
              <w:left w:w="100" w:type="dxa"/>
              <w:bottom w:w="100" w:type="dxa"/>
              <w:right w:w="100" w:type="dxa"/>
            </w:tcMar>
          </w:tcPr>
          <w:p w14:paraId="66ADC4A0" w14:textId="77777777" w:rsidR="00100564" w:rsidRDefault="00000000">
            <w:r>
              <w:rPr>
                <w:sz w:val="20"/>
                <w:szCs w:val="20"/>
              </w:rPr>
              <w:t>Azure AD; MFA enforced</w:t>
            </w:r>
          </w:p>
        </w:tc>
      </w:tr>
      <w:tr w:rsidR="00100564" w14:paraId="59338FDD" w14:textId="77777777">
        <w:tblPrEx>
          <w:tblCellMar>
            <w:top w:w="0" w:type="dxa"/>
            <w:bottom w:w="0" w:type="dxa"/>
          </w:tblCellMar>
        </w:tblPrEx>
        <w:tc>
          <w:tcPr>
            <w:tcW w:w="2600" w:type="dxa"/>
            <w:tcMar>
              <w:top w:w="100" w:type="dxa"/>
              <w:left w:w="100" w:type="dxa"/>
              <w:bottom w:w="100" w:type="dxa"/>
              <w:right w:w="100" w:type="dxa"/>
            </w:tcMar>
          </w:tcPr>
          <w:p w14:paraId="135D9C87" w14:textId="77777777" w:rsidR="00100564" w:rsidRDefault="00000000">
            <w:r>
              <w:rPr>
                <w:sz w:val="20"/>
                <w:szCs w:val="20"/>
              </w:rPr>
              <w:lastRenderedPageBreak/>
              <w:t>Vendor Remote Support Tool</w:t>
            </w:r>
          </w:p>
        </w:tc>
        <w:tc>
          <w:tcPr>
            <w:tcW w:w="3400" w:type="dxa"/>
            <w:tcMar>
              <w:top w:w="100" w:type="dxa"/>
              <w:left w:w="100" w:type="dxa"/>
              <w:bottom w:w="100" w:type="dxa"/>
              <w:right w:w="100" w:type="dxa"/>
            </w:tcMar>
          </w:tcPr>
          <w:p w14:paraId="094A9188" w14:textId="77777777" w:rsidR="00100564" w:rsidRDefault="00000000">
            <w:r>
              <w:rPr>
                <w:sz w:val="20"/>
                <w:szCs w:val="20"/>
              </w:rPr>
              <w:t>Third-party maintenance access</w:t>
            </w:r>
          </w:p>
        </w:tc>
        <w:tc>
          <w:tcPr>
            <w:tcW w:w="2600" w:type="dxa"/>
            <w:tcMar>
              <w:top w:w="100" w:type="dxa"/>
              <w:left w:w="100" w:type="dxa"/>
              <w:bottom w:w="100" w:type="dxa"/>
              <w:right w:w="100" w:type="dxa"/>
            </w:tcMar>
          </w:tcPr>
          <w:p w14:paraId="0CBDC183" w14:textId="77777777" w:rsidR="00100564" w:rsidRDefault="00000000">
            <w:r>
              <w:rPr>
                <w:sz w:val="20"/>
                <w:szCs w:val="20"/>
              </w:rPr>
              <w:t>Internet-facing</w:t>
            </w:r>
          </w:p>
        </w:tc>
        <w:tc>
          <w:tcPr>
            <w:tcW w:w="2600" w:type="dxa"/>
            <w:tcMar>
              <w:top w:w="100" w:type="dxa"/>
              <w:left w:w="100" w:type="dxa"/>
              <w:bottom w:w="100" w:type="dxa"/>
              <w:right w:w="100" w:type="dxa"/>
            </w:tcMar>
          </w:tcPr>
          <w:p w14:paraId="66B56D6B" w14:textId="77777777" w:rsidR="00100564" w:rsidRDefault="00000000">
            <w:r>
              <w:rPr>
                <w:sz w:val="20"/>
                <w:szCs w:val="20"/>
              </w:rPr>
              <w:t>Shared vendor credentials</w:t>
            </w:r>
          </w:p>
        </w:tc>
      </w:tr>
    </w:tbl>
    <w:p w14:paraId="2A230401" w14:textId="77777777" w:rsidR="00100564" w:rsidRDefault="00100564">
      <w:pPr>
        <w:spacing w:after="200"/>
      </w:pPr>
    </w:p>
    <w:p w14:paraId="1C5D515D" w14:textId="77777777" w:rsidR="00100564" w:rsidRDefault="00000000">
      <w:pPr>
        <w:spacing w:after="160" w:line="300" w:lineRule="auto"/>
        <w:jc w:val="both"/>
      </w:pPr>
      <w:r>
        <w:t>This mix reflects a common real-world pattern: newer cloud-based services (Azure VDI) tend to have stronger baseline security controls, while legacy on-premises services (the RDP jump server and vendor support tool) were configured years earlier and have not been revisited as security standards evolved.</w:t>
      </w:r>
    </w:p>
    <w:p w14:paraId="43071CB3" w14:textId="77777777" w:rsidR="00100564" w:rsidRDefault="00000000">
      <w:pPr>
        <w:pStyle w:val="Heading1"/>
      </w:pPr>
      <w:r>
        <w:t>4. Methodology</w:t>
      </w:r>
    </w:p>
    <w:p w14:paraId="02E4D68C" w14:textId="77777777" w:rsidR="00100564" w:rsidRDefault="00000000">
      <w:pPr>
        <w:spacing w:after="160" w:line="300" w:lineRule="auto"/>
        <w:jc w:val="both"/>
      </w:pPr>
      <w:r>
        <w:t>The evaluation followed a four-stage methodology adapted from standard attack-surface-management practice:</w:t>
      </w:r>
    </w:p>
    <w:p w14:paraId="20077255" w14:textId="77777777" w:rsidR="00100564" w:rsidRDefault="00000000">
      <w:pPr>
        <w:pStyle w:val="ListParagraph"/>
        <w:numPr>
          <w:ilvl w:val="0"/>
          <w:numId w:val="2"/>
        </w:numPr>
        <w:spacing w:after="80" w:line="280" w:lineRule="auto"/>
      </w:pPr>
      <w:r>
        <w:t>Asset and service discovery — enumerating all remote access services and their external exposure (ports, protocols, hostnames).</w:t>
      </w:r>
    </w:p>
    <w:p w14:paraId="58B9E692" w14:textId="77777777" w:rsidR="00100564" w:rsidRDefault="00000000">
      <w:pPr>
        <w:pStyle w:val="ListParagraph"/>
        <w:numPr>
          <w:ilvl w:val="0"/>
          <w:numId w:val="2"/>
        </w:numPr>
        <w:spacing w:after="80" w:line="280" w:lineRule="auto"/>
      </w:pPr>
      <w:r>
        <w:t>Vulnerability mapping — associating each service with known vulnerability classes (e.g., credential-based attacks, unpatched software, protocol weaknesses).</w:t>
      </w:r>
    </w:p>
    <w:p w14:paraId="6ECF48A7" w14:textId="77777777" w:rsidR="00100564" w:rsidRDefault="00000000">
      <w:pPr>
        <w:pStyle w:val="ListParagraph"/>
        <w:numPr>
          <w:ilvl w:val="0"/>
          <w:numId w:val="2"/>
        </w:numPr>
        <w:spacing w:after="80" w:line="280" w:lineRule="auto"/>
      </w:pPr>
      <w:r>
        <w:t>Risk scoring — rating each finding on likelihood and impact using a qualitative High/Medium/Low scale, consistent with a standard risk matrix.</w:t>
      </w:r>
    </w:p>
    <w:p w14:paraId="212311CD" w14:textId="77777777" w:rsidR="00100564" w:rsidRDefault="00000000">
      <w:pPr>
        <w:pStyle w:val="ListParagraph"/>
        <w:numPr>
          <w:ilvl w:val="0"/>
          <w:numId w:val="2"/>
        </w:numPr>
        <w:spacing w:after="80" w:line="280" w:lineRule="auto"/>
      </w:pPr>
      <w:r>
        <w:t>Recommendation and prioritization — proposing mitigations ordered by risk reduction versus implementation effort.</w:t>
      </w:r>
    </w:p>
    <w:p w14:paraId="596EA4F0" w14:textId="77777777" w:rsidR="00100564" w:rsidRDefault="00000000">
      <w:pPr>
        <w:spacing w:after="160" w:line="300" w:lineRule="auto"/>
        <w:jc w:val="both"/>
      </w:pPr>
      <w:r>
        <w:t>This methodology intentionally focuses on evaluation and risk reasoning rather than on active exploitation; the goal is to understand and reduce exposure, not to demonstrate attack techniques.</w:t>
      </w:r>
    </w:p>
    <w:p w14:paraId="04BA5F43" w14:textId="77777777" w:rsidR="00100564" w:rsidRDefault="00000000">
      <w:pPr>
        <w:pStyle w:val="Heading1"/>
      </w:pPr>
      <w:r>
        <w:t>5. Findings: Attack Surface Analysis</w:t>
      </w:r>
    </w:p>
    <w:p w14:paraId="7CE5392B" w14:textId="77777777" w:rsidR="00100564" w:rsidRDefault="00000000">
      <w:pPr>
        <w:pStyle w:val="Heading2"/>
        <w:spacing w:before="200"/>
      </w:pPr>
      <w:r>
        <w:t>5.1 Risk Assessment Summary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1600"/>
        <w:gridCol w:w="1600"/>
        <w:gridCol w:w="1600"/>
      </w:tblGrid>
      <w:tr w:rsidR="00100564" w14:paraId="706A8B0D" w14:textId="77777777">
        <w:tblPrEx>
          <w:tblCellMar>
            <w:top w:w="0" w:type="dxa"/>
            <w:bottom w:w="0" w:type="dxa"/>
          </w:tblCellMar>
        </w:tblPrEx>
        <w:trPr>
          <w:tblHeader/>
        </w:trPr>
        <w:tc>
          <w:tcPr>
            <w:tcW w:w="2000" w:type="dxa"/>
            <w:shd w:val="clear" w:color="auto" w:fill="1F4E79"/>
            <w:tcMar>
              <w:top w:w="100" w:type="dxa"/>
              <w:left w:w="100" w:type="dxa"/>
              <w:bottom w:w="100" w:type="dxa"/>
              <w:right w:w="100" w:type="dxa"/>
            </w:tcMar>
          </w:tcPr>
          <w:p w14:paraId="00CF30CB" w14:textId="77777777" w:rsidR="00100564" w:rsidRDefault="00000000">
            <w:r>
              <w:rPr>
                <w:b/>
                <w:bCs/>
                <w:color w:val="FFFFFF"/>
                <w:sz w:val="20"/>
                <w:szCs w:val="20"/>
              </w:rPr>
              <w:t>Service</w:t>
            </w:r>
          </w:p>
        </w:tc>
        <w:tc>
          <w:tcPr>
            <w:tcW w:w="3400" w:type="dxa"/>
            <w:shd w:val="clear" w:color="auto" w:fill="1F4E79"/>
            <w:tcMar>
              <w:top w:w="100" w:type="dxa"/>
              <w:left w:w="100" w:type="dxa"/>
              <w:bottom w:w="100" w:type="dxa"/>
              <w:right w:w="100" w:type="dxa"/>
            </w:tcMar>
          </w:tcPr>
          <w:p w14:paraId="278F8D20" w14:textId="77777777" w:rsidR="00100564" w:rsidRDefault="00000000">
            <w:r>
              <w:rPr>
                <w:b/>
                <w:bCs/>
                <w:color w:val="FFFFFF"/>
                <w:sz w:val="20"/>
                <w:szCs w:val="20"/>
              </w:rPr>
              <w:t>Key Risk Factor</w:t>
            </w:r>
          </w:p>
        </w:tc>
        <w:tc>
          <w:tcPr>
            <w:tcW w:w="1600" w:type="dxa"/>
            <w:shd w:val="clear" w:color="auto" w:fill="1F4E79"/>
            <w:tcMar>
              <w:top w:w="100" w:type="dxa"/>
              <w:left w:w="100" w:type="dxa"/>
              <w:bottom w:w="100" w:type="dxa"/>
              <w:right w:w="100" w:type="dxa"/>
            </w:tcMar>
          </w:tcPr>
          <w:p w14:paraId="4925D300" w14:textId="77777777" w:rsidR="00100564" w:rsidRDefault="00000000">
            <w:r>
              <w:rPr>
                <w:b/>
                <w:bCs/>
                <w:color w:val="FFFFFF"/>
                <w:sz w:val="20"/>
                <w:szCs w:val="20"/>
              </w:rPr>
              <w:t>Likelihood</w:t>
            </w:r>
          </w:p>
        </w:tc>
        <w:tc>
          <w:tcPr>
            <w:tcW w:w="1600" w:type="dxa"/>
            <w:shd w:val="clear" w:color="auto" w:fill="1F4E79"/>
            <w:tcMar>
              <w:top w:w="100" w:type="dxa"/>
              <w:left w:w="100" w:type="dxa"/>
              <w:bottom w:w="100" w:type="dxa"/>
              <w:right w:w="100" w:type="dxa"/>
            </w:tcMar>
          </w:tcPr>
          <w:p w14:paraId="4B1C8C31" w14:textId="77777777" w:rsidR="00100564" w:rsidRDefault="00000000">
            <w:r>
              <w:rPr>
                <w:b/>
                <w:bCs/>
                <w:color w:val="FFFFFF"/>
                <w:sz w:val="20"/>
                <w:szCs w:val="20"/>
              </w:rPr>
              <w:t>Impact</w:t>
            </w:r>
          </w:p>
        </w:tc>
        <w:tc>
          <w:tcPr>
            <w:tcW w:w="1600" w:type="dxa"/>
            <w:shd w:val="clear" w:color="auto" w:fill="1F4E79"/>
            <w:tcMar>
              <w:top w:w="100" w:type="dxa"/>
              <w:left w:w="100" w:type="dxa"/>
              <w:bottom w:w="100" w:type="dxa"/>
              <w:right w:w="100" w:type="dxa"/>
            </w:tcMar>
          </w:tcPr>
          <w:p w14:paraId="213B0639" w14:textId="77777777" w:rsidR="00100564" w:rsidRDefault="00000000">
            <w:r>
              <w:rPr>
                <w:b/>
                <w:bCs/>
                <w:color w:val="FFFFFF"/>
                <w:sz w:val="20"/>
                <w:szCs w:val="20"/>
              </w:rPr>
              <w:t>Overall Risk</w:t>
            </w:r>
          </w:p>
        </w:tc>
      </w:tr>
      <w:tr w:rsidR="00100564" w14:paraId="692FB735" w14:textId="77777777">
        <w:tblPrEx>
          <w:tblCellMar>
            <w:top w:w="0" w:type="dxa"/>
            <w:bottom w:w="0" w:type="dxa"/>
          </w:tblCellMar>
        </w:tblPrEx>
        <w:tc>
          <w:tcPr>
            <w:tcW w:w="2000" w:type="dxa"/>
            <w:tcMar>
              <w:top w:w="100" w:type="dxa"/>
              <w:left w:w="100" w:type="dxa"/>
              <w:bottom w:w="100" w:type="dxa"/>
              <w:right w:w="100" w:type="dxa"/>
            </w:tcMar>
          </w:tcPr>
          <w:p w14:paraId="42656377" w14:textId="77777777" w:rsidR="00100564" w:rsidRDefault="00000000">
            <w:r>
              <w:rPr>
                <w:sz w:val="20"/>
                <w:szCs w:val="20"/>
              </w:rPr>
              <w:t>RDP Jump Server</w:t>
            </w:r>
          </w:p>
        </w:tc>
        <w:tc>
          <w:tcPr>
            <w:tcW w:w="3400" w:type="dxa"/>
            <w:tcMar>
              <w:top w:w="100" w:type="dxa"/>
              <w:left w:w="100" w:type="dxa"/>
              <w:bottom w:w="100" w:type="dxa"/>
              <w:right w:w="100" w:type="dxa"/>
            </w:tcMar>
          </w:tcPr>
          <w:p w14:paraId="46A59BE1" w14:textId="77777777" w:rsidR="00100564" w:rsidRDefault="00000000">
            <w:r>
              <w:rPr>
                <w:sz w:val="20"/>
                <w:szCs w:val="20"/>
              </w:rPr>
              <w:t>Direct internet exposure, no MFA</w:t>
            </w:r>
          </w:p>
        </w:tc>
        <w:tc>
          <w:tcPr>
            <w:tcW w:w="1600" w:type="dxa"/>
            <w:tcMar>
              <w:top w:w="100" w:type="dxa"/>
              <w:left w:w="100" w:type="dxa"/>
              <w:bottom w:w="100" w:type="dxa"/>
              <w:right w:w="100" w:type="dxa"/>
            </w:tcMar>
          </w:tcPr>
          <w:p w14:paraId="5A59E3CC" w14:textId="77777777" w:rsidR="00100564" w:rsidRDefault="00000000">
            <w:r>
              <w:rPr>
                <w:sz w:val="20"/>
                <w:szCs w:val="20"/>
              </w:rPr>
              <w:t>High</w:t>
            </w:r>
          </w:p>
        </w:tc>
        <w:tc>
          <w:tcPr>
            <w:tcW w:w="1600" w:type="dxa"/>
            <w:tcMar>
              <w:top w:w="100" w:type="dxa"/>
              <w:left w:w="100" w:type="dxa"/>
              <w:bottom w:w="100" w:type="dxa"/>
              <w:right w:w="100" w:type="dxa"/>
            </w:tcMar>
          </w:tcPr>
          <w:p w14:paraId="4584F9E0" w14:textId="77777777" w:rsidR="00100564" w:rsidRDefault="00000000">
            <w:r>
              <w:rPr>
                <w:sz w:val="20"/>
                <w:szCs w:val="20"/>
              </w:rPr>
              <w:t>High</w:t>
            </w:r>
          </w:p>
        </w:tc>
        <w:tc>
          <w:tcPr>
            <w:tcW w:w="1600" w:type="dxa"/>
            <w:tcMar>
              <w:top w:w="100" w:type="dxa"/>
              <w:left w:w="100" w:type="dxa"/>
              <w:bottom w:w="100" w:type="dxa"/>
              <w:right w:w="100" w:type="dxa"/>
            </w:tcMar>
          </w:tcPr>
          <w:p w14:paraId="1972EE61" w14:textId="77777777" w:rsidR="00100564" w:rsidRDefault="00000000">
            <w:r>
              <w:rPr>
                <w:sz w:val="20"/>
                <w:szCs w:val="20"/>
              </w:rPr>
              <w:t>Critical</w:t>
            </w:r>
          </w:p>
        </w:tc>
      </w:tr>
      <w:tr w:rsidR="00100564" w14:paraId="38A03563" w14:textId="77777777">
        <w:tblPrEx>
          <w:tblCellMar>
            <w:top w:w="0" w:type="dxa"/>
            <w:bottom w:w="0" w:type="dxa"/>
          </w:tblCellMar>
        </w:tblPrEx>
        <w:tc>
          <w:tcPr>
            <w:tcW w:w="2000" w:type="dxa"/>
            <w:tcMar>
              <w:top w:w="100" w:type="dxa"/>
              <w:left w:w="100" w:type="dxa"/>
              <w:bottom w:w="100" w:type="dxa"/>
              <w:right w:w="100" w:type="dxa"/>
            </w:tcMar>
          </w:tcPr>
          <w:p w14:paraId="66946064" w14:textId="77777777" w:rsidR="00100564" w:rsidRDefault="00000000">
            <w:r>
              <w:rPr>
                <w:sz w:val="20"/>
                <w:szCs w:val="20"/>
              </w:rPr>
              <w:t>Vendor Support Tool</w:t>
            </w:r>
          </w:p>
        </w:tc>
        <w:tc>
          <w:tcPr>
            <w:tcW w:w="3400" w:type="dxa"/>
            <w:tcMar>
              <w:top w:w="100" w:type="dxa"/>
              <w:left w:w="100" w:type="dxa"/>
              <w:bottom w:w="100" w:type="dxa"/>
              <w:right w:w="100" w:type="dxa"/>
            </w:tcMar>
          </w:tcPr>
          <w:p w14:paraId="6542CAFF" w14:textId="77777777" w:rsidR="00100564" w:rsidRDefault="00000000">
            <w:r>
              <w:rPr>
                <w:sz w:val="20"/>
                <w:szCs w:val="20"/>
              </w:rPr>
              <w:t>Shared/static credentials, limited logging</w:t>
            </w:r>
          </w:p>
        </w:tc>
        <w:tc>
          <w:tcPr>
            <w:tcW w:w="1600" w:type="dxa"/>
            <w:tcMar>
              <w:top w:w="100" w:type="dxa"/>
              <w:left w:w="100" w:type="dxa"/>
              <w:bottom w:w="100" w:type="dxa"/>
              <w:right w:w="100" w:type="dxa"/>
            </w:tcMar>
          </w:tcPr>
          <w:p w14:paraId="4E727D57" w14:textId="77777777" w:rsidR="00100564" w:rsidRDefault="00000000">
            <w:r>
              <w:rPr>
                <w:sz w:val="20"/>
                <w:szCs w:val="20"/>
              </w:rPr>
              <w:t>High</w:t>
            </w:r>
          </w:p>
        </w:tc>
        <w:tc>
          <w:tcPr>
            <w:tcW w:w="1600" w:type="dxa"/>
            <w:tcMar>
              <w:top w:w="100" w:type="dxa"/>
              <w:left w:w="100" w:type="dxa"/>
              <w:bottom w:w="100" w:type="dxa"/>
              <w:right w:w="100" w:type="dxa"/>
            </w:tcMar>
          </w:tcPr>
          <w:p w14:paraId="193F513E" w14:textId="77777777" w:rsidR="00100564" w:rsidRDefault="00000000">
            <w:r>
              <w:rPr>
                <w:sz w:val="20"/>
                <w:szCs w:val="20"/>
              </w:rPr>
              <w:t>Medium</w:t>
            </w:r>
          </w:p>
        </w:tc>
        <w:tc>
          <w:tcPr>
            <w:tcW w:w="1600" w:type="dxa"/>
            <w:tcMar>
              <w:top w:w="100" w:type="dxa"/>
              <w:left w:w="100" w:type="dxa"/>
              <w:bottom w:w="100" w:type="dxa"/>
              <w:right w:w="100" w:type="dxa"/>
            </w:tcMar>
          </w:tcPr>
          <w:p w14:paraId="2D1C7ACF" w14:textId="77777777" w:rsidR="00100564" w:rsidRDefault="00000000">
            <w:r>
              <w:rPr>
                <w:sz w:val="20"/>
                <w:szCs w:val="20"/>
              </w:rPr>
              <w:t>High</w:t>
            </w:r>
          </w:p>
        </w:tc>
      </w:tr>
      <w:tr w:rsidR="00100564" w14:paraId="3381CB62" w14:textId="77777777">
        <w:tblPrEx>
          <w:tblCellMar>
            <w:top w:w="0" w:type="dxa"/>
            <w:bottom w:w="0" w:type="dxa"/>
          </w:tblCellMar>
        </w:tblPrEx>
        <w:tc>
          <w:tcPr>
            <w:tcW w:w="2000" w:type="dxa"/>
            <w:tcMar>
              <w:top w:w="100" w:type="dxa"/>
              <w:left w:w="100" w:type="dxa"/>
              <w:bottom w:w="100" w:type="dxa"/>
              <w:right w:w="100" w:type="dxa"/>
            </w:tcMar>
          </w:tcPr>
          <w:p w14:paraId="752CD6CD" w14:textId="77777777" w:rsidR="00100564" w:rsidRDefault="00000000">
            <w:r>
              <w:rPr>
                <w:sz w:val="20"/>
                <w:szCs w:val="20"/>
              </w:rPr>
              <w:t>SSL VPN Gateway</w:t>
            </w:r>
          </w:p>
        </w:tc>
        <w:tc>
          <w:tcPr>
            <w:tcW w:w="3400" w:type="dxa"/>
            <w:tcMar>
              <w:top w:w="100" w:type="dxa"/>
              <w:left w:w="100" w:type="dxa"/>
              <w:bottom w:w="100" w:type="dxa"/>
              <w:right w:w="100" w:type="dxa"/>
            </w:tcMar>
          </w:tcPr>
          <w:p w14:paraId="54396D62" w14:textId="77777777" w:rsidR="00100564" w:rsidRDefault="00000000">
            <w:r>
              <w:rPr>
                <w:sz w:val="20"/>
                <w:szCs w:val="20"/>
              </w:rPr>
              <w:t>MFA optional, legacy TLS config</w:t>
            </w:r>
          </w:p>
        </w:tc>
        <w:tc>
          <w:tcPr>
            <w:tcW w:w="1600" w:type="dxa"/>
            <w:tcMar>
              <w:top w:w="100" w:type="dxa"/>
              <w:left w:w="100" w:type="dxa"/>
              <w:bottom w:w="100" w:type="dxa"/>
              <w:right w:w="100" w:type="dxa"/>
            </w:tcMar>
          </w:tcPr>
          <w:p w14:paraId="3A262CA2" w14:textId="77777777" w:rsidR="00100564" w:rsidRDefault="00000000">
            <w:r>
              <w:rPr>
                <w:sz w:val="20"/>
                <w:szCs w:val="20"/>
              </w:rPr>
              <w:t>Medium</w:t>
            </w:r>
          </w:p>
        </w:tc>
        <w:tc>
          <w:tcPr>
            <w:tcW w:w="1600" w:type="dxa"/>
            <w:tcMar>
              <w:top w:w="100" w:type="dxa"/>
              <w:left w:w="100" w:type="dxa"/>
              <w:bottom w:w="100" w:type="dxa"/>
              <w:right w:w="100" w:type="dxa"/>
            </w:tcMar>
          </w:tcPr>
          <w:p w14:paraId="658B0922" w14:textId="77777777" w:rsidR="00100564" w:rsidRDefault="00000000">
            <w:r>
              <w:rPr>
                <w:sz w:val="20"/>
                <w:szCs w:val="20"/>
              </w:rPr>
              <w:t>High</w:t>
            </w:r>
          </w:p>
        </w:tc>
        <w:tc>
          <w:tcPr>
            <w:tcW w:w="1600" w:type="dxa"/>
            <w:tcMar>
              <w:top w:w="100" w:type="dxa"/>
              <w:left w:w="100" w:type="dxa"/>
              <w:bottom w:w="100" w:type="dxa"/>
              <w:right w:w="100" w:type="dxa"/>
            </w:tcMar>
          </w:tcPr>
          <w:p w14:paraId="21EA45BB" w14:textId="77777777" w:rsidR="00100564" w:rsidRDefault="00000000">
            <w:r>
              <w:rPr>
                <w:sz w:val="20"/>
                <w:szCs w:val="20"/>
              </w:rPr>
              <w:t>High</w:t>
            </w:r>
          </w:p>
        </w:tc>
      </w:tr>
      <w:tr w:rsidR="00100564" w14:paraId="3C8FDE82" w14:textId="77777777">
        <w:tblPrEx>
          <w:tblCellMar>
            <w:top w:w="0" w:type="dxa"/>
            <w:bottom w:w="0" w:type="dxa"/>
          </w:tblCellMar>
        </w:tblPrEx>
        <w:tc>
          <w:tcPr>
            <w:tcW w:w="2000" w:type="dxa"/>
            <w:tcMar>
              <w:top w:w="100" w:type="dxa"/>
              <w:left w:w="100" w:type="dxa"/>
              <w:bottom w:w="100" w:type="dxa"/>
              <w:right w:w="100" w:type="dxa"/>
            </w:tcMar>
          </w:tcPr>
          <w:p w14:paraId="15644E23" w14:textId="77777777" w:rsidR="00100564" w:rsidRDefault="00000000">
            <w:r>
              <w:rPr>
                <w:sz w:val="20"/>
                <w:szCs w:val="20"/>
              </w:rPr>
              <w:t>SSH Access</w:t>
            </w:r>
          </w:p>
        </w:tc>
        <w:tc>
          <w:tcPr>
            <w:tcW w:w="3400" w:type="dxa"/>
            <w:tcMar>
              <w:top w:w="100" w:type="dxa"/>
              <w:left w:w="100" w:type="dxa"/>
              <w:bottom w:w="100" w:type="dxa"/>
              <w:right w:w="100" w:type="dxa"/>
            </w:tcMar>
          </w:tcPr>
          <w:p w14:paraId="44165EE5" w14:textId="77777777" w:rsidR="00100564" w:rsidRDefault="00000000">
            <w:r>
              <w:rPr>
                <w:sz w:val="20"/>
                <w:szCs w:val="20"/>
              </w:rPr>
              <w:t>Partial key-enforcement, internal only</w:t>
            </w:r>
          </w:p>
        </w:tc>
        <w:tc>
          <w:tcPr>
            <w:tcW w:w="1600" w:type="dxa"/>
            <w:tcMar>
              <w:top w:w="100" w:type="dxa"/>
              <w:left w:w="100" w:type="dxa"/>
              <w:bottom w:w="100" w:type="dxa"/>
              <w:right w:w="100" w:type="dxa"/>
            </w:tcMar>
          </w:tcPr>
          <w:p w14:paraId="29434A4A" w14:textId="77777777" w:rsidR="00100564" w:rsidRDefault="00000000">
            <w:r>
              <w:rPr>
                <w:sz w:val="20"/>
                <w:szCs w:val="20"/>
              </w:rPr>
              <w:t>Low</w:t>
            </w:r>
          </w:p>
        </w:tc>
        <w:tc>
          <w:tcPr>
            <w:tcW w:w="1600" w:type="dxa"/>
            <w:tcMar>
              <w:top w:w="100" w:type="dxa"/>
              <w:left w:w="100" w:type="dxa"/>
              <w:bottom w:w="100" w:type="dxa"/>
              <w:right w:w="100" w:type="dxa"/>
            </w:tcMar>
          </w:tcPr>
          <w:p w14:paraId="1585BD38" w14:textId="77777777" w:rsidR="00100564" w:rsidRDefault="00000000">
            <w:r>
              <w:rPr>
                <w:sz w:val="20"/>
                <w:szCs w:val="20"/>
              </w:rPr>
              <w:t>Medium</w:t>
            </w:r>
          </w:p>
        </w:tc>
        <w:tc>
          <w:tcPr>
            <w:tcW w:w="1600" w:type="dxa"/>
            <w:tcMar>
              <w:top w:w="100" w:type="dxa"/>
              <w:left w:w="100" w:type="dxa"/>
              <w:bottom w:w="100" w:type="dxa"/>
              <w:right w:w="100" w:type="dxa"/>
            </w:tcMar>
          </w:tcPr>
          <w:p w14:paraId="46B8D9FF" w14:textId="77777777" w:rsidR="00100564" w:rsidRDefault="00000000">
            <w:r>
              <w:rPr>
                <w:sz w:val="20"/>
                <w:szCs w:val="20"/>
              </w:rPr>
              <w:t>Medium</w:t>
            </w:r>
          </w:p>
        </w:tc>
      </w:tr>
      <w:tr w:rsidR="00100564" w14:paraId="3A2BC2DF" w14:textId="77777777">
        <w:tblPrEx>
          <w:tblCellMar>
            <w:top w:w="0" w:type="dxa"/>
            <w:bottom w:w="0" w:type="dxa"/>
          </w:tblCellMar>
        </w:tblPrEx>
        <w:tc>
          <w:tcPr>
            <w:tcW w:w="2000" w:type="dxa"/>
            <w:tcMar>
              <w:top w:w="100" w:type="dxa"/>
              <w:left w:w="100" w:type="dxa"/>
              <w:bottom w:w="100" w:type="dxa"/>
              <w:right w:w="100" w:type="dxa"/>
            </w:tcMar>
          </w:tcPr>
          <w:p w14:paraId="7657F704" w14:textId="77777777" w:rsidR="00100564" w:rsidRDefault="00000000">
            <w:r>
              <w:rPr>
                <w:sz w:val="20"/>
                <w:szCs w:val="20"/>
              </w:rPr>
              <w:t>Azure VDI</w:t>
            </w:r>
          </w:p>
        </w:tc>
        <w:tc>
          <w:tcPr>
            <w:tcW w:w="3400" w:type="dxa"/>
            <w:tcMar>
              <w:top w:w="100" w:type="dxa"/>
              <w:left w:w="100" w:type="dxa"/>
              <w:bottom w:w="100" w:type="dxa"/>
              <w:right w:w="100" w:type="dxa"/>
            </w:tcMar>
          </w:tcPr>
          <w:p w14:paraId="27AC53D5" w14:textId="77777777" w:rsidR="00100564" w:rsidRDefault="00000000">
            <w:r>
              <w:rPr>
                <w:sz w:val="20"/>
                <w:szCs w:val="20"/>
              </w:rPr>
              <w:t>Strong baseline controls, MFA enforced</w:t>
            </w:r>
          </w:p>
        </w:tc>
        <w:tc>
          <w:tcPr>
            <w:tcW w:w="1600" w:type="dxa"/>
            <w:tcMar>
              <w:top w:w="100" w:type="dxa"/>
              <w:left w:w="100" w:type="dxa"/>
              <w:bottom w:w="100" w:type="dxa"/>
              <w:right w:w="100" w:type="dxa"/>
            </w:tcMar>
          </w:tcPr>
          <w:p w14:paraId="1918E421" w14:textId="77777777" w:rsidR="00100564" w:rsidRDefault="00000000">
            <w:r>
              <w:rPr>
                <w:sz w:val="20"/>
                <w:szCs w:val="20"/>
              </w:rPr>
              <w:t>Low</w:t>
            </w:r>
          </w:p>
        </w:tc>
        <w:tc>
          <w:tcPr>
            <w:tcW w:w="1600" w:type="dxa"/>
            <w:tcMar>
              <w:top w:w="100" w:type="dxa"/>
              <w:left w:w="100" w:type="dxa"/>
              <w:bottom w:w="100" w:type="dxa"/>
              <w:right w:w="100" w:type="dxa"/>
            </w:tcMar>
          </w:tcPr>
          <w:p w14:paraId="6AF47FFB" w14:textId="77777777" w:rsidR="00100564" w:rsidRDefault="00000000">
            <w:r>
              <w:rPr>
                <w:sz w:val="20"/>
                <w:szCs w:val="20"/>
              </w:rPr>
              <w:t>Medium</w:t>
            </w:r>
          </w:p>
        </w:tc>
        <w:tc>
          <w:tcPr>
            <w:tcW w:w="1600" w:type="dxa"/>
            <w:tcMar>
              <w:top w:w="100" w:type="dxa"/>
              <w:left w:w="100" w:type="dxa"/>
              <w:bottom w:w="100" w:type="dxa"/>
              <w:right w:w="100" w:type="dxa"/>
            </w:tcMar>
          </w:tcPr>
          <w:p w14:paraId="40DEB0A7" w14:textId="77777777" w:rsidR="00100564" w:rsidRDefault="00000000">
            <w:r>
              <w:rPr>
                <w:sz w:val="20"/>
                <w:szCs w:val="20"/>
              </w:rPr>
              <w:t>Low</w:t>
            </w:r>
          </w:p>
        </w:tc>
      </w:tr>
    </w:tbl>
    <w:p w14:paraId="3BDFB470" w14:textId="77777777" w:rsidR="00100564" w:rsidRDefault="00100564">
      <w:pPr>
        <w:spacing w:after="200"/>
      </w:pPr>
    </w:p>
    <w:p w14:paraId="1019F4D9" w14:textId="77777777" w:rsidR="00100564" w:rsidRDefault="00000000">
      <w:pPr>
        <w:pStyle w:val="Heading2"/>
        <w:spacing w:before="200"/>
      </w:pPr>
      <w:r>
        <w:t>5.2 Discussion of Key Findings</w:t>
      </w:r>
    </w:p>
    <w:p w14:paraId="4ED2D93C" w14:textId="77777777" w:rsidR="00100564" w:rsidRDefault="00000000">
      <w:pPr>
        <w:spacing w:after="160" w:line="300" w:lineRule="auto"/>
        <w:jc w:val="both"/>
      </w:pPr>
      <w:r>
        <w:lastRenderedPageBreak/>
        <w:t>Internet-facing RDP without MFA: The RDP jump server represents the most severe finding. Direct exposure of RDP to the internet, combined with reliance on local Windows credentials and no MFA, matches the profile of the initial-access technique most frequently cited in ransomware incident reports. A single compromised or guessed credential could grant an attacker interactive access to internal infrastructure.</w:t>
      </w:r>
    </w:p>
    <w:p w14:paraId="09E4B9AD" w14:textId="77777777" w:rsidR="00100564" w:rsidRDefault="00000000">
      <w:pPr>
        <w:spacing w:after="160" w:line="300" w:lineRule="auto"/>
        <w:jc w:val="both"/>
      </w:pPr>
      <w:r>
        <w:t xml:space="preserve">Vendor remote support tool: Shared credentials used by an external vendor reduce accountability and make it difficult to detect anomalous access, since activity cannot be reliably attributed to a specific individual. Limited logging </w:t>
      </w:r>
      <w:proofErr w:type="gramStart"/>
      <w:r>
        <w:t>on</w:t>
      </w:r>
      <w:proofErr w:type="gramEnd"/>
      <w:r>
        <w:t xml:space="preserve"> this service further reduces the organization's ability to detect misuse.</w:t>
      </w:r>
    </w:p>
    <w:p w14:paraId="26B3E463" w14:textId="77777777" w:rsidR="00100564" w:rsidRDefault="00000000">
      <w:pPr>
        <w:spacing w:after="160" w:line="300" w:lineRule="auto"/>
        <w:jc w:val="both"/>
      </w:pPr>
      <w:r>
        <w:t>VPN gateway configuration: While the SSL VPN uses encryption in transit, MFA is optional rather than enforced for all users, and the TLS configuration has not been updated to disable older cipher suites. This creates a moderate risk of credential-based compromise, particularly through phishing or password-reuse attacks.</w:t>
      </w:r>
    </w:p>
    <w:p w14:paraId="5E4D68D4" w14:textId="77777777" w:rsidR="00100564" w:rsidRDefault="00000000">
      <w:pPr>
        <w:spacing w:after="160" w:line="300" w:lineRule="auto"/>
        <w:jc w:val="both"/>
      </w:pPr>
      <w:r>
        <w:t>SSH and Azure VDI: These two services demonstrate comparatively mature controls — SSH is not directly internet-exposed and increasingly relies on key-based authentication, while the Azure VDI environment benefits from cloud-native identity protections and enforced MFA. These represent a useful internal benchmark for how the higher-risk services should be reconfigured.</w:t>
      </w:r>
    </w:p>
    <w:p w14:paraId="5ABB7610" w14:textId="77777777" w:rsidR="00100564" w:rsidRDefault="00000000">
      <w:pPr>
        <w:pStyle w:val="Heading1"/>
      </w:pPr>
      <w:r>
        <w:t>6. Recommendations</w:t>
      </w:r>
    </w:p>
    <w:p w14:paraId="64AD36FA" w14:textId="77777777" w:rsidR="00100564" w:rsidRDefault="00000000">
      <w:pPr>
        <w:spacing w:after="160" w:line="300" w:lineRule="auto"/>
        <w:jc w:val="both"/>
      </w:pPr>
      <w:r>
        <w:t>Based on the risk assessment, the following mitigations are recommended, ordered by priority:</w:t>
      </w:r>
    </w:p>
    <w:p w14:paraId="6422F5A0" w14:textId="77777777" w:rsidR="00100564" w:rsidRDefault="00000000">
      <w:pPr>
        <w:pStyle w:val="ListParagraph"/>
        <w:numPr>
          <w:ilvl w:val="0"/>
          <w:numId w:val="2"/>
        </w:numPr>
        <w:spacing w:after="80" w:line="280" w:lineRule="auto"/>
      </w:pPr>
      <w:r>
        <w:t>Eliminate direct internet exposure of RDP. Route all RDP sessions through the existing VPN or a dedicated Remote Desktop Gateway with MFA enforced, rather than exposing port 3389 directly to the internet.</w:t>
      </w:r>
    </w:p>
    <w:p w14:paraId="2C35EF0A" w14:textId="77777777" w:rsidR="00100564" w:rsidRDefault="00000000">
      <w:pPr>
        <w:pStyle w:val="ListParagraph"/>
        <w:numPr>
          <w:ilvl w:val="0"/>
          <w:numId w:val="2"/>
        </w:numPr>
        <w:spacing w:after="80" w:line="280" w:lineRule="auto"/>
      </w:pPr>
      <w:r>
        <w:t>Enforce MFA organization-wide for all remote access services, including the VPN gateway and the vendor support tool, with no exceptions for administrative accounts.</w:t>
      </w:r>
    </w:p>
    <w:p w14:paraId="2C202C66" w14:textId="77777777" w:rsidR="00100564" w:rsidRDefault="00000000">
      <w:pPr>
        <w:pStyle w:val="ListParagraph"/>
        <w:numPr>
          <w:ilvl w:val="0"/>
          <w:numId w:val="2"/>
        </w:numPr>
        <w:spacing w:after="80" w:line="280" w:lineRule="auto"/>
      </w:pPr>
      <w:r>
        <w:t>Replace shared vendor credentials with individually attributable accounts, time-bound access windows, and session recording for third-party remote support sessions.</w:t>
      </w:r>
    </w:p>
    <w:p w14:paraId="69540FC2" w14:textId="77777777" w:rsidR="00100564" w:rsidRDefault="00000000">
      <w:pPr>
        <w:pStyle w:val="ListParagraph"/>
        <w:numPr>
          <w:ilvl w:val="0"/>
          <w:numId w:val="2"/>
        </w:numPr>
        <w:spacing w:after="80" w:line="280" w:lineRule="auto"/>
      </w:pPr>
      <w:r>
        <w:t>Update VPN gateway TLS configuration to disable deprecated cipher suites and enforce current protocol versions.</w:t>
      </w:r>
    </w:p>
    <w:p w14:paraId="58ED62FC" w14:textId="77777777" w:rsidR="00100564" w:rsidRDefault="00000000">
      <w:pPr>
        <w:pStyle w:val="ListParagraph"/>
        <w:numPr>
          <w:ilvl w:val="0"/>
          <w:numId w:val="2"/>
        </w:numPr>
        <w:spacing w:after="80" w:line="280" w:lineRule="auto"/>
      </w:pPr>
      <w:r>
        <w:t>Complete SSH key-based authentication rollout across all remaining systems and disable password-based SSH login.</w:t>
      </w:r>
    </w:p>
    <w:p w14:paraId="25FB51C3" w14:textId="77777777" w:rsidR="00100564" w:rsidRDefault="00000000">
      <w:pPr>
        <w:pStyle w:val="ListParagraph"/>
        <w:numPr>
          <w:ilvl w:val="0"/>
          <w:numId w:val="2"/>
        </w:numPr>
        <w:spacing w:after="80" w:line="280" w:lineRule="auto"/>
      </w:pPr>
      <w:r>
        <w:t>Adopt a Zero Trust access model for high-value internal systems, verifying device posture and identity continuously rather than granting broad network-level trust once a VPN session is established.</w:t>
      </w:r>
    </w:p>
    <w:p w14:paraId="357C751D" w14:textId="77777777" w:rsidR="00100564" w:rsidRDefault="00000000">
      <w:pPr>
        <w:pStyle w:val="ListParagraph"/>
        <w:numPr>
          <w:ilvl w:val="0"/>
          <w:numId w:val="2"/>
        </w:numPr>
        <w:spacing w:after="80" w:line="280" w:lineRule="auto"/>
      </w:pPr>
      <w:r>
        <w:t>Implement centralized logging and alerting for all remote access services so that anomalous login patterns (unusual location, time, or failed-attempt volume) can be detected quickly.</w:t>
      </w:r>
    </w:p>
    <w:p w14:paraId="02A5BA1F" w14:textId="77777777" w:rsidR="00100564" w:rsidRDefault="00000000">
      <w:pPr>
        <w:pStyle w:val="ListParagraph"/>
        <w:numPr>
          <w:ilvl w:val="0"/>
          <w:numId w:val="2"/>
        </w:numPr>
        <w:spacing w:after="80" w:line="280" w:lineRule="auto"/>
      </w:pPr>
      <w:r>
        <w:lastRenderedPageBreak/>
        <w:t>Establish a regular patch-management cadence specifically for remote access infrastructure, given its high exposure to external attackers.</w:t>
      </w:r>
    </w:p>
    <w:p w14:paraId="2AE1EFE9" w14:textId="77777777" w:rsidR="00100564" w:rsidRDefault="00000000">
      <w:pPr>
        <w:pStyle w:val="Heading1"/>
      </w:pPr>
      <w:r>
        <w:t>7. Conclusion</w:t>
      </w:r>
    </w:p>
    <w:p w14:paraId="38BD7D69" w14:textId="77777777" w:rsidR="00100564" w:rsidRDefault="00000000">
      <w:pPr>
        <w:spacing w:after="160" w:line="300" w:lineRule="auto"/>
        <w:jc w:val="both"/>
      </w:pPr>
      <w:r>
        <w:t xml:space="preserve">This case study demonstrates that not all remote access services carry equal risk: the age of the deployment, the strength of authentication controls, and the degree of direct internet exposure are the primary drivers of attack surface severity. In the </w:t>
      </w:r>
      <w:proofErr w:type="spellStart"/>
      <w:r>
        <w:t>NovaTech</w:t>
      </w:r>
      <w:proofErr w:type="spellEnd"/>
      <w:r>
        <w:t xml:space="preserve"> Solutions scenario, the internet-facing RDP jump server and the third-party vendor support tool represented the highest-risk components, while the more recently deployed, cloud-native Azure VDI environment showed the strongest security posture. This pattern is consistent with broader industry findings and reinforces a key principle of enterprise security: attack surface reduction should be treated as an ongoing evaluation process, not a one-time exercise, particularly as organizations continue to expand remote access capabilities to support hybrid work.</w:t>
      </w:r>
    </w:p>
    <w:p w14:paraId="588105BA" w14:textId="77777777" w:rsidR="00100564" w:rsidRDefault="00000000">
      <w:pPr>
        <w:pStyle w:val="Heading1"/>
      </w:pPr>
      <w:r>
        <w:t>References</w:t>
      </w:r>
    </w:p>
    <w:p w14:paraId="68C58F94" w14:textId="77777777" w:rsidR="00100564" w:rsidRDefault="00000000">
      <w:pPr>
        <w:spacing w:after="160" w:line="300" w:lineRule="auto"/>
        <w:jc w:val="both"/>
      </w:pPr>
      <w:r>
        <w:t>National Institute of Standards and Technology (NIST). Cybersecurity Framework (CSF) 2.0. NIST, 2024.</w:t>
      </w:r>
    </w:p>
    <w:p w14:paraId="7E2206E4" w14:textId="77777777" w:rsidR="00100564" w:rsidRDefault="00000000">
      <w:pPr>
        <w:spacing w:after="160" w:line="300" w:lineRule="auto"/>
        <w:jc w:val="both"/>
      </w:pPr>
      <w:r>
        <w:t>National Institute of Standards and Technology (NIST). Special Publication 800-207: Zero Trust Architecture. NIST, 2020.</w:t>
      </w:r>
    </w:p>
    <w:p w14:paraId="7A6F48C5" w14:textId="77777777" w:rsidR="00100564" w:rsidRDefault="00000000">
      <w:pPr>
        <w:spacing w:after="160" w:line="300" w:lineRule="auto"/>
        <w:jc w:val="both"/>
      </w:pPr>
      <w:r>
        <w:t>Verizon. Data Breach Investigations Report (DBIR). Verizon Business, latest annual edition.</w:t>
      </w:r>
    </w:p>
    <w:p w14:paraId="1A4795CB" w14:textId="77777777" w:rsidR="00100564" w:rsidRDefault="00000000">
      <w:pPr>
        <w:spacing w:after="160" w:line="300" w:lineRule="auto"/>
        <w:jc w:val="both"/>
      </w:pPr>
      <w:r>
        <w:t>CISA. Guidance on Securing Remote Access Software. Cybersecurity and Infrastructure Security Agency.</w:t>
      </w:r>
    </w:p>
    <w:p w14:paraId="474A59B3" w14:textId="77777777" w:rsidR="00100564" w:rsidRDefault="00000000">
      <w:pPr>
        <w:spacing w:after="160" w:line="300" w:lineRule="auto"/>
        <w:jc w:val="both"/>
      </w:pPr>
      <w:r>
        <w:t>SANS Institute. Remote Access Security: Best Practices for VPN and RDP Hardening.</w:t>
      </w:r>
    </w:p>
    <w:sectPr w:rsidR="001005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9D7"/>
    <w:multiLevelType w:val="hybridMultilevel"/>
    <w:tmpl w:val="ADE254D8"/>
    <w:lvl w:ilvl="0" w:tplc="4F3649F6">
      <w:start w:val="1"/>
      <w:numFmt w:val="decimal"/>
      <w:lvlText w:val="%1."/>
      <w:lvlJc w:val="left"/>
      <w:pPr>
        <w:ind w:left="450" w:hanging="260"/>
      </w:pPr>
    </w:lvl>
    <w:lvl w:ilvl="1" w:tplc="ED2690E2">
      <w:numFmt w:val="decimal"/>
      <w:lvlText w:val=""/>
      <w:lvlJc w:val="left"/>
    </w:lvl>
    <w:lvl w:ilvl="2" w:tplc="A266A3B0">
      <w:numFmt w:val="decimal"/>
      <w:lvlText w:val=""/>
      <w:lvlJc w:val="left"/>
    </w:lvl>
    <w:lvl w:ilvl="3" w:tplc="2FCE763E">
      <w:numFmt w:val="decimal"/>
      <w:lvlText w:val=""/>
      <w:lvlJc w:val="left"/>
    </w:lvl>
    <w:lvl w:ilvl="4" w:tplc="8A3CBDE6">
      <w:numFmt w:val="decimal"/>
      <w:lvlText w:val=""/>
      <w:lvlJc w:val="left"/>
    </w:lvl>
    <w:lvl w:ilvl="5" w:tplc="B7E2E3AA">
      <w:numFmt w:val="decimal"/>
      <w:lvlText w:val=""/>
      <w:lvlJc w:val="left"/>
    </w:lvl>
    <w:lvl w:ilvl="6" w:tplc="6FD256A2">
      <w:numFmt w:val="decimal"/>
      <w:lvlText w:val=""/>
      <w:lvlJc w:val="left"/>
    </w:lvl>
    <w:lvl w:ilvl="7" w:tplc="EAEACB72">
      <w:numFmt w:val="decimal"/>
      <w:lvlText w:val=""/>
      <w:lvlJc w:val="left"/>
    </w:lvl>
    <w:lvl w:ilvl="8" w:tplc="51242E1E">
      <w:numFmt w:val="decimal"/>
      <w:lvlText w:val=""/>
      <w:lvlJc w:val="left"/>
    </w:lvl>
  </w:abstractNum>
  <w:abstractNum w:abstractNumId="1" w15:restartNumberingAfterBreak="0">
    <w:nsid w:val="7C5A54FB"/>
    <w:multiLevelType w:val="hybridMultilevel"/>
    <w:tmpl w:val="6ABE61D2"/>
    <w:lvl w:ilvl="0" w:tplc="0D280870">
      <w:start w:val="1"/>
      <w:numFmt w:val="bullet"/>
      <w:lvlText w:val="●"/>
      <w:lvlJc w:val="left"/>
      <w:pPr>
        <w:ind w:left="720" w:hanging="360"/>
      </w:pPr>
    </w:lvl>
    <w:lvl w:ilvl="1" w:tplc="34200134">
      <w:start w:val="1"/>
      <w:numFmt w:val="bullet"/>
      <w:lvlText w:val="○"/>
      <w:lvlJc w:val="left"/>
      <w:pPr>
        <w:ind w:left="1440" w:hanging="360"/>
      </w:pPr>
    </w:lvl>
    <w:lvl w:ilvl="2" w:tplc="A082179A">
      <w:start w:val="1"/>
      <w:numFmt w:val="bullet"/>
      <w:lvlText w:val="■"/>
      <w:lvlJc w:val="left"/>
      <w:pPr>
        <w:ind w:left="2160" w:hanging="360"/>
      </w:pPr>
    </w:lvl>
    <w:lvl w:ilvl="3" w:tplc="B128C926">
      <w:start w:val="1"/>
      <w:numFmt w:val="bullet"/>
      <w:lvlText w:val="●"/>
      <w:lvlJc w:val="left"/>
      <w:pPr>
        <w:ind w:left="2880" w:hanging="360"/>
      </w:pPr>
    </w:lvl>
    <w:lvl w:ilvl="4" w:tplc="669860CC">
      <w:start w:val="1"/>
      <w:numFmt w:val="bullet"/>
      <w:lvlText w:val="○"/>
      <w:lvlJc w:val="left"/>
      <w:pPr>
        <w:ind w:left="3600" w:hanging="360"/>
      </w:pPr>
    </w:lvl>
    <w:lvl w:ilvl="5" w:tplc="0530448C">
      <w:start w:val="1"/>
      <w:numFmt w:val="bullet"/>
      <w:lvlText w:val="■"/>
      <w:lvlJc w:val="left"/>
      <w:pPr>
        <w:ind w:left="4320" w:hanging="360"/>
      </w:pPr>
    </w:lvl>
    <w:lvl w:ilvl="6" w:tplc="16A285BE">
      <w:start w:val="1"/>
      <w:numFmt w:val="bullet"/>
      <w:lvlText w:val="●"/>
      <w:lvlJc w:val="left"/>
      <w:pPr>
        <w:ind w:left="5040" w:hanging="360"/>
      </w:pPr>
    </w:lvl>
    <w:lvl w:ilvl="7" w:tplc="3658375C">
      <w:start w:val="1"/>
      <w:numFmt w:val="bullet"/>
      <w:lvlText w:val="●"/>
      <w:lvlJc w:val="left"/>
      <w:pPr>
        <w:ind w:left="5760" w:hanging="360"/>
      </w:pPr>
    </w:lvl>
    <w:lvl w:ilvl="8" w:tplc="4B300782">
      <w:start w:val="1"/>
      <w:numFmt w:val="bullet"/>
      <w:lvlText w:val="●"/>
      <w:lvlJc w:val="left"/>
      <w:pPr>
        <w:ind w:left="6480" w:hanging="360"/>
      </w:pPr>
    </w:lvl>
  </w:abstractNum>
  <w:num w:numId="1" w16cid:durableId="1166745624">
    <w:abstractNumId w:val="1"/>
    <w:lvlOverride w:ilvl="0">
      <w:startOverride w:val="1"/>
    </w:lvlOverride>
  </w:num>
  <w:num w:numId="2" w16cid:durableId="1263997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564"/>
    <w:rsid w:val="00100564"/>
    <w:rsid w:val="00BA6512"/>
    <w:rsid w:val="00FC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B5B0"/>
  <w15:docId w15:val="{B091C972-9716-4DA8-9B4F-C1019E11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20" w:after="10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1657</Words>
  <Characters>9451</Characters>
  <Application>Microsoft Office Word</Application>
  <DocSecurity>0</DocSecurity>
  <Lines>78</Lines>
  <Paragraphs>22</Paragraphs>
  <ScaleCrop>false</ScaleCrop>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ajaysanjay0407@gmail.com</cp:lastModifiedBy>
  <cp:revision>2</cp:revision>
  <dcterms:created xsi:type="dcterms:W3CDTF">2026-07-30T06:11:00Z</dcterms:created>
  <dcterms:modified xsi:type="dcterms:W3CDTF">2026-07-30T06:11:00Z</dcterms:modified>
</cp:coreProperties>
</file>