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40" w:before="0"/>
        <w:jc w:val="left"/>
      </w:pPr>
      <w:r>
        <w:rPr>
          <w:rFonts w:ascii="Arial" w:cs="Arial" w:eastAsia="Arial" w:hAnsi="Arial"/>
          <w:b/>
          <w:bCs/>
          <w:color w:val="0F2B4C"/>
          <w:sz w:val="56"/>
          <w:szCs w:val="56"/>
        </w:rPr>
        <w:t xml:space="preserve">ETHANA</w:t>
      </w:r>
    </w:p>
    <w:p>
      <w:pPr>
        <w:spacing w:after="200" w:before="0"/>
        <w:jc w:val="left"/>
      </w:pPr>
      <w:r>
        <w:rPr>
          <w:rFonts w:ascii="Arial" w:cs="Arial" w:eastAsia="Arial" w:hAnsi="Arial"/>
          <w:color w:val="2A6BBF"/>
          <w:sz w:val="30"/>
          <w:szCs w:val="30"/>
        </w:rPr>
        <w:t xml:space="preserve">Enterprise AI Control Plane</w:t>
      </w:r>
    </w:p>
    <w:p>
      <w:pPr>
        <w:pBdr>
          <w:bottom w:val="single" w:color="1E8FD5" w:sz="12" w:space="1"/>
        </w:pBdr>
        <w:spacing w:after="300" w:before="0"/>
        <w:jc w:val="left"/>
      </w:pPr>
      <w:r>
        <w:t xml:space="preserve"/>
      </w:r>
    </w:p>
    <w:p>
      <w:pPr>
        <w:spacing w:after="80" w:before="200"/>
        <w:jc w:val="left"/>
      </w:pPr>
      <w:r>
        <w:rPr>
          <w:rFonts w:ascii="Arial" w:cs="Arial" w:eastAsia="Arial" w:hAnsi="Arial"/>
          <w:b/>
          <w:bCs/>
          <w:color w:val="1A4F8A"/>
          <w:sz w:val="44"/>
          <w:szCs w:val="44"/>
        </w:rPr>
        <w:t xml:space="preserve">MARKETING PLAYBOOK</w:t>
      </w:r>
    </w:p>
    <w:p>
      <w:pPr>
        <w:spacing w:after="600" w:before="0"/>
        <w:jc w:val="left"/>
      </w:pPr>
      <w:r>
        <w:rPr>
          <w:rFonts w:ascii="Arial" w:cs="Arial" w:eastAsia="Arial" w:hAnsi="Arial"/>
          <w:i/>
          <w:iCs/>
          <w:color w:val="4A4A6A"/>
          <w:sz w:val="22"/>
          <w:szCs w:val="22"/>
        </w:rPr>
        <w:t xml:space="preserve">Positioning · Messaging · ICP · Competitive Handling · Sales Plays</w:t>
      </w:r>
    </w:p>
    <w:p>
      <w:pPr>
        <w:spacing w:after="0" w:before="200"/>
      </w:pPr>
      <w:r>
        <w:t xml:space="preserve"/>
      </w:r>
    </w:p>
    <w:p>
      <w:pPr>
        <w:spacing w:after="40" w:before="0"/>
        <w:jc w:val="left"/>
      </w:pPr>
      <w:r>
        <w:rPr>
          <w:rFonts w:ascii="Arial" w:cs="Arial" w:eastAsia="Arial" w:hAnsi="Arial"/>
          <w:i/>
          <w:iCs/>
          <w:color w:val="4A4A6A"/>
          <w:sz w:val="18"/>
          <w:szCs w:val="18"/>
        </w:rPr>
        <w:t xml:space="preserve">Confidential — Internal Use Only</w:t>
      </w:r>
    </w:p>
    <w:p>
      <w:pPr>
        <w:spacing w:after="40" w:before="0"/>
        <w:jc w:val="left"/>
      </w:pPr>
      <w:r>
        <w:rPr>
          <w:rFonts w:ascii="Arial" w:cs="Arial" w:eastAsia="Arial" w:hAnsi="Arial"/>
          <w:color w:val="4A4A6A"/>
          <w:sz w:val="18"/>
          <w:szCs w:val="18"/>
        </w:rPr>
        <w:t xml:space="preserve">Version 1.0  ·  June 2026</w:t>
      </w:r>
    </w:p>
    <w:p>
      <w:r>
        <w:br w:type="page"/>
      </w:r>
    </w:p>
    <w:p>
      <w:pPr>
        <w:pStyle w:val="Heading1"/>
        <w:pBdr>
          <w:bottom w:val="single" w:color="1E8FD5" w:sz="8" w:space="6"/>
        </w:pBdr>
        <w:spacing w:after="160" w:before="360"/>
      </w:pPr>
      <w:r>
        <w:rPr>
          <w:rFonts w:ascii="Arial" w:cs="Arial" w:eastAsia="Arial" w:hAnsi="Arial"/>
          <w:b/>
          <w:bCs/>
          <w:color w:val="0F2B4C"/>
          <w:sz w:val="36"/>
          <w:szCs w:val="36"/>
        </w:rPr>
        <w:t xml:space="preserve">1. Platform Overview</w:t>
      </w:r>
    </w:p>
    <w:p>
      <w:pPr>
        <w:spacing w:after="120" w:before="80"/>
      </w:pPr>
      <w:r>
        <w:rPr>
          <w:rFonts w:ascii="Arial" w:cs="Arial" w:eastAsia="Arial" w:hAnsi="Arial"/>
          <w:color w:val="1A1A2E"/>
          <w:sz w:val="22"/>
          <w:szCs w:val="22"/>
        </w:rPr>
        <w:t xml:space="preserve">Ethana is an Enterprise AI Control Plane. It helps organizations discover, govern, monitor, secure, and scale AI adoption across employees, applications, agents, and infrastructure.</w:t>
      </w:r>
    </w:p>
    <w:p>
      <w:pPr>
        <w:spacing w:after="0" w:before="80"/>
      </w:pPr>
      <w:r>
        <w:t xml:space="preserve"/>
      </w:r>
    </w:p>
    <w:p>
      <w:pPr>
        <w:spacing w:after="120" w:before="80"/>
      </w:pPr>
      <w:r>
        <w:rPr>
          <w:rFonts w:ascii="Arial" w:cs="Arial" w:eastAsia="Arial" w:hAnsi="Arial"/>
          <w:color w:val="1A1A2E"/>
          <w:sz w:val="22"/>
          <w:szCs w:val="22"/>
        </w:rPr>
        <w:t xml:space="preserve">The platform consists of three integrated products that share a unified governance, audit, compliance, and observability layer: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0"/>
        <w:gridCol w:w="3050"/>
        <w:gridCol w:w="3060"/>
      </w:tblGrid>
      <w:tr>
        <w:tc>
          <w:tcPr>
            <w:tcW w:type="dxa" w:w="3050"/>
            <w:tcBorders>
              <w:top w:val="single" w:color="C8D8EE" w:sz="4"/>
              <w:left w:val="single" w:color="C8D8EE" w:sz="4"/>
              <w:bottom w:val="single" w:color="C8D8EE" w:sz="4"/>
              <w:right w:val="single" w:color="C8D8EE" w:sz="4"/>
            </w:tcBorders>
            <w:shd w:fill="1B6CA8"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Ethana Edge</w:t>
            </w:r>
          </w:p>
        </w:tc>
        <w:tc>
          <w:tcPr>
            <w:tcW w:type="dxa" w:w="3050"/>
            <w:tcBorders>
              <w:top w:val="single" w:color="C8D8EE" w:sz="4"/>
              <w:left w:val="single" w:color="C8D8EE" w:sz="4"/>
              <w:bottom w:val="single" w:color="C8D8EE" w:sz="4"/>
              <w:right w:val="single" w:color="C8D8EE" w:sz="4"/>
            </w:tcBorders>
            <w:shd w:fill="1D7A6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Ethana Workspace</w:t>
            </w:r>
          </w:p>
        </w:tc>
        <w:tc>
          <w:tcPr>
            <w:tcW w:type="dxa" w:w="3060"/>
            <w:tcBorders>
              <w:top w:val="single" w:color="C8D8EE" w:sz="4"/>
              <w:left w:val="single" w:color="C8D8EE" w:sz="4"/>
              <w:bottom w:val="single" w:color="C8D8EE" w:sz="4"/>
              <w:right w:val="single" w:color="C8D8EE" w:sz="4"/>
            </w:tcBorders>
            <w:shd w:fill="7B3FA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Ethana Build</w:t>
            </w:r>
          </w:p>
        </w:tc>
      </w:tr>
      <w:tr>
        <w:tc>
          <w:tcPr>
            <w:tcW w:type="dxa" w:w="3050"/>
            <w:tcBorders>
              <w:top w:val="single" w:color="C8D8EE" w:sz="4"/>
              <w:left w:val="single" w:color="C8D8EE" w:sz="4"/>
              <w:bottom w:val="single" w:color="C8D8EE" w:sz="4"/>
              <w:right w:val="single" w:color="C8D8EE" w:sz="4"/>
            </w:tcBorders>
            <w:shd w:fill="FFFFFF" w:val="clear"/>
            <w:tcMar>
              <w:top w:type="dxa" w:w="100"/>
              <w:left w:type="dxa" w:w="140"/>
              <w:bottom w:type="dxa" w:w="100"/>
              <w:right w:type="dxa" w:w="140"/>
            </w:tcMar>
          </w:tcPr>
          <w:p>
            <w:pPr>
              <w:spacing w:after="30" w:before="30"/>
            </w:pPr>
            <w:r>
              <w:rPr>
                <w:rFonts w:ascii="Arial" w:cs="Arial" w:eastAsia="Arial" w:hAnsi="Arial"/>
                <w:color w:val="1B6CA8"/>
                <w:sz w:val="20"/>
                <w:szCs w:val="20"/>
              </w:rPr>
              <w:t xml:space="preserve">Endpoint AI Monitoring</w:t>
            </w:r>
          </w:p>
          <w:p>
            <w:pPr>
              <w:spacing w:after="0" w:before="20"/>
            </w:pPr>
            <w:r>
              <w:t xml:space="preserve"/>
            </w:r>
          </w:p>
          <w:p>
            <w:pPr>
              <w:pStyle w:val="ListParagraph"/>
              <w:numPr>
                <w:ilvl w:val="0"/>
                <w:numId w:val="2"/>
              </w:numPr>
              <w:spacing w:after="20" w:before="20"/>
            </w:pPr>
            <w:r>
              <w:rPr>
                <w:rFonts w:ascii="Arial" w:cs="Arial" w:eastAsia="Arial" w:hAnsi="Arial"/>
                <w:color w:val="1A1A2E"/>
                <w:sz w:val="19"/>
                <w:szCs w:val="19"/>
              </w:rPr>
              <w:t xml:space="preserve">AI discovery &amp; shadow AI</w:t>
            </w:r>
          </w:p>
          <w:p>
            <w:pPr>
              <w:pStyle w:val="ListParagraph"/>
              <w:numPr>
                <w:ilvl w:val="0"/>
                <w:numId w:val="2"/>
              </w:numPr>
              <w:spacing w:after="20" w:before="20"/>
            </w:pPr>
            <w:r>
              <w:rPr>
                <w:rFonts w:ascii="Arial" w:cs="Arial" w:eastAsia="Arial" w:hAnsi="Arial"/>
                <w:color w:val="1A1A2E"/>
                <w:sz w:val="19"/>
                <w:szCs w:val="19"/>
              </w:rPr>
              <w:t xml:space="preserve">Browser AI monitoring</w:t>
            </w:r>
          </w:p>
          <w:p>
            <w:pPr>
              <w:pStyle w:val="ListParagraph"/>
              <w:numPr>
                <w:ilvl w:val="0"/>
                <w:numId w:val="2"/>
              </w:numPr>
              <w:spacing w:after="20" w:before="20"/>
            </w:pPr>
            <w:r>
              <w:rPr>
                <w:rFonts w:ascii="Arial" w:cs="Arial" w:eastAsia="Arial" w:hAnsi="Arial"/>
                <w:color w:val="1A1A2E"/>
                <w:sz w:val="19"/>
                <w:szCs w:val="19"/>
              </w:rPr>
              <w:t xml:space="preserve">Developer tool monitoring</w:t>
            </w:r>
          </w:p>
          <w:p>
            <w:pPr>
              <w:pStyle w:val="ListParagraph"/>
              <w:numPr>
                <w:ilvl w:val="0"/>
                <w:numId w:val="2"/>
              </w:numPr>
              <w:spacing w:after="20" w:before="20"/>
            </w:pPr>
            <w:r>
              <w:rPr>
                <w:rFonts w:ascii="Arial" w:cs="Arial" w:eastAsia="Arial" w:hAnsi="Arial"/>
                <w:color w:val="1A1A2E"/>
                <w:sz w:val="19"/>
                <w:szCs w:val="19"/>
              </w:rPr>
              <w:t xml:space="preserve">Prompt &amp; response visibility</w:t>
            </w:r>
          </w:p>
          <w:p>
            <w:pPr>
              <w:pStyle w:val="ListParagraph"/>
              <w:numPr>
                <w:ilvl w:val="0"/>
                <w:numId w:val="2"/>
              </w:numPr>
              <w:spacing w:after="20" w:before="20"/>
            </w:pPr>
            <w:r>
              <w:rPr>
                <w:rFonts w:ascii="Arial" w:cs="Arial" w:eastAsia="Arial" w:hAnsi="Arial"/>
                <w:color w:val="1A1A2E"/>
                <w:sz w:val="19"/>
                <w:szCs w:val="19"/>
              </w:rPr>
              <w:t xml:space="preserve">AI asset inventory</w:t>
            </w:r>
          </w:p>
          <w:p>
            <w:pPr>
              <w:pStyle w:val="ListParagraph"/>
              <w:numPr>
                <w:ilvl w:val="0"/>
                <w:numId w:val="2"/>
              </w:numPr>
              <w:spacing w:after="20" w:before="20"/>
            </w:pPr>
            <w:r>
              <w:rPr>
                <w:rFonts w:ascii="Arial" w:cs="Arial" w:eastAsia="Arial" w:hAnsi="Arial"/>
                <w:color w:val="1A1A2E"/>
                <w:sz w:val="19"/>
                <w:szCs w:val="19"/>
              </w:rPr>
              <w:t xml:space="preserve">Per-user attribution</w:t>
            </w:r>
          </w:p>
          <w:p>
            <w:pPr>
              <w:pStyle w:val="ListParagraph"/>
              <w:numPr>
                <w:ilvl w:val="0"/>
                <w:numId w:val="2"/>
              </w:numPr>
              <w:spacing w:after="20" w:before="20"/>
            </w:pPr>
            <w:r>
              <w:rPr>
                <w:rFonts w:ascii="Arial" w:cs="Arial" w:eastAsia="Arial" w:hAnsi="Arial"/>
                <w:color w:val="1A1A2E"/>
                <w:sz w:val="19"/>
                <w:szCs w:val="19"/>
              </w:rPr>
              <w:t xml:space="preserve">Compliance audit logs</w:t>
            </w:r>
          </w:p>
          <w:p>
            <w:pPr>
              <w:pStyle w:val="ListParagraph"/>
              <w:numPr>
                <w:ilvl w:val="0"/>
                <w:numId w:val="2"/>
              </w:numPr>
              <w:spacing w:after="20" w:before="20"/>
            </w:pPr>
            <w:r>
              <w:rPr>
                <w:rFonts w:ascii="Arial" w:cs="Arial" w:eastAsia="Arial" w:hAnsi="Arial"/>
                <w:color w:val="1A1A2E"/>
                <w:sz w:val="19"/>
                <w:szCs w:val="19"/>
              </w:rPr>
              <w:t xml:space="preserve">Security &amp; blocking (roadmap)</w:t>
            </w:r>
          </w:p>
        </w:tc>
        <w:tc>
          <w:tcPr>
            <w:tcW w:type="dxa" w:w="3050"/>
            <w:tcBorders>
              <w:top w:val="single" w:color="C8D8EE" w:sz="4"/>
              <w:left w:val="single" w:color="C8D8EE" w:sz="4"/>
              <w:bottom w:val="single" w:color="C8D8EE" w:sz="4"/>
              <w:right w:val="single" w:color="C8D8EE" w:sz="4"/>
            </w:tcBorders>
            <w:shd w:fill="FFFFFF" w:val="clear"/>
            <w:tcMar>
              <w:top w:type="dxa" w:w="100"/>
              <w:left w:type="dxa" w:w="140"/>
              <w:bottom w:type="dxa" w:w="100"/>
              <w:right w:type="dxa" w:w="140"/>
            </w:tcMar>
          </w:tcPr>
          <w:p>
            <w:pPr>
              <w:spacing w:after="30" w:before="30"/>
            </w:pPr>
            <w:r>
              <w:rPr>
                <w:rFonts w:ascii="Arial" w:cs="Arial" w:eastAsia="Arial" w:hAnsi="Arial"/>
                <w:color w:val="1D7A6A"/>
                <w:sz w:val="20"/>
                <w:szCs w:val="20"/>
              </w:rPr>
              <w:t xml:space="preserve">Governed AI Workspaces</w:t>
            </w:r>
          </w:p>
          <w:p>
            <w:pPr>
              <w:spacing w:after="0" w:before="20"/>
            </w:pPr>
            <w:r>
              <w:t xml:space="preserve"/>
            </w:r>
          </w:p>
          <w:p>
            <w:pPr>
              <w:pStyle w:val="ListParagraph"/>
              <w:numPr>
                <w:ilvl w:val="0"/>
                <w:numId w:val="2"/>
              </w:numPr>
              <w:spacing w:after="20" w:before="20"/>
            </w:pPr>
            <w:r>
              <w:rPr>
                <w:rFonts w:ascii="Arial" w:cs="Arial" w:eastAsia="Arial" w:hAnsi="Arial"/>
                <w:color w:val="1A1A2E"/>
                <w:sz w:val="19"/>
                <w:szCs w:val="19"/>
              </w:rPr>
              <w:t xml:space="preserve">Enterprise chat &amp; collaboration</w:t>
            </w:r>
          </w:p>
          <w:p>
            <w:pPr>
              <w:pStyle w:val="ListParagraph"/>
              <w:numPr>
                <w:ilvl w:val="0"/>
                <w:numId w:val="2"/>
              </w:numPr>
              <w:spacing w:after="20" w:before="20"/>
            </w:pPr>
            <w:r>
              <w:rPr>
                <w:rFonts w:ascii="Arial" w:cs="Arial" w:eastAsia="Arial" w:hAnsi="Arial"/>
                <w:color w:val="1A1A2E"/>
                <w:sz w:val="19"/>
                <w:szCs w:val="19"/>
              </w:rPr>
              <w:t xml:space="preserve">Knowledge-grounded assistants</w:t>
            </w:r>
          </w:p>
          <w:p>
            <w:pPr>
              <w:pStyle w:val="ListParagraph"/>
              <w:numPr>
                <w:ilvl w:val="0"/>
                <w:numId w:val="2"/>
              </w:numPr>
              <w:spacing w:after="20" w:before="20"/>
            </w:pPr>
            <w:r>
              <w:rPr>
                <w:rFonts w:ascii="Arial" w:cs="Arial" w:eastAsia="Arial" w:hAnsi="Arial"/>
                <w:color w:val="1A1A2E"/>
                <w:sz w:val="19"/>
                <w:szCs w:val="19"/>
              </w:rPr>
              <w:t xml:space="preserve">RAG on internal documents</w:t>
            </w:r>
          </w:p>
          <w:p>
            <w:pPr>
              <w:pStyle w:val="ListParagraph"/>
              <w:numPr>
                <w:ilvl w:val="0"/>
                <w:numId w:val="2"/>
              </w:numPr>
              <w:spacing w:after="20" w:before="20"/>
            </w:pPr>
            <w:r>
              <w:rPr>
                <w:rFonts w:ascii="Arial" w:cs="Arial" w:eastAsia="Arial" w:hAnsi="Arial"/>
                <w:color w:val="1A1A2E"/>
                <w:sz w:val="19"/>
                <w:szCs w:val="19"/>
              </w:rPr>
              <w:t xml:space="preserve">Department AI copilots</w:t>
            </w:r>
          </w:p>
          <w:p>
            <w:pPr>
              <w:pStyle w:val="ListParagraph"/>
              <w:numPr>
                <w:ilvl w:val="0"/>
                <w:numId w:val="2"/>
              </w:numPr>
              <w:spacing w:after="20" w:before="20"/>
            </w:pPr>
            <w:r>
              <w:rPr>
                <w:rFonts w:ascii="Arial" w:cs="Arial" w:eastAsia="Arial" w:hAnsi="Arial"/>
                <w:color w:val="1A1A2E"/>
                <w:sz w:val="19"/>
                <w:szCs w:val="19"/>
              </w:rPr>
              <w:t xml:space="preserve">Self-hosted / air-gapped</w:t>
            </w:r>
          </w:p>
          <w:p>
            <w:pPr>
              <w:pStyle w:val="ListParagraph"/>
              <w:numPr>
                <w:ilvl w:val="0"/>
                <w:numId w:val="2"/>
              </w:numPr>
              <w:spacing w:after="20" w:before="20"/>
            </w:pPr>
            <w:r>
              <w:rPr>
                <w:rFonts w:ascii="Arial" w:cs="Arial" w:eastAsia="Arial" w:hAnsi="Arial"/>
                <w:color w:val="1A1A2E"/>
                <w:sz w:val="19"/>
                <w:szCs w:val="19"/>
              </w:rPr>
              <w:t xml:space="preserve">Role-based access control</w:t>
            </w:r>
          </w:p>
          <w:p>
            <w:pPr>
              <w:pStyle w:val="ListParagraph"/>
              <w:numPr>
                <w:ilvl w:val="0"/>
                <w:numId w:val="2"/>
              </w:numPr>
              <w:spacing w:after="20" w:before="20"/>
            </w:pPr>
            <w:r>
              <w:rPr>
                <w:rFonts w:ascii="Arial" w:cs="Arial" w:eastAsia="Arial" w:hAnsi="Arial"/>
                <w:color w:val="1A1A2E"/>
                <w:sz w:val="19"/>
                <w:szCs w:val="19"/>
              </w:rPr>
              <w:t xml:space="preserve">Immutable prompt/response logs</w:t>
            </w:r>
          </w:p>
          <w:p>
            <w:pPr>
              <w:pStyle w:val="ListParagraph"/>
              <w:numPr>
                <w:ilvl w:val="0"/>
                <w:numId w:val="2"/>
              </w:numPr>
              <w:spacing w:after="20" w:before="20"/>
            </w:pPr>
            <w:r>
              <w:rPr>
                <w:rFonts w:ascii="Arial" w:cs="Arial" w:eastAsia="Arial" w:hAnsi="Arial"/>
                <w:color w:val="1A1A2E"/>
                <w:sz w:val="19"/>
                <w:szCs w:val="19"/>
              </w:rPr>
              <w:t xml:space="preserve">Document drafting &amp; workflows</w:t>
            </w:r>
          </w:p>
        </w:tc>
        <w:tc>
          <w:tcPr>
            <w:tcW w:type="dxa" w:w="3060"/>
            <w:tcBorders>
              <w:top w:val="single" w:color="C8D8EE" w:sz="4"/>
              <w:left w:val="single" w:color="C8D8EE" w:sz="4"/>
              <w:bottom w:val="single" w:color="C8D8EE" w:sz="4"/>
              <w:right w:val="single" w:color="C8D8EE" w:sz="4"/>
            </w:tcBorders>
            <w:shd w:fill="FFFFFF" w:val="clear"/>
            <w:tcMar>
              <w:top w:type="dxa" w:w="100"/>
              <w:left w:type="dxa" w:w="140"/>
              <w:bottom w:type="dxa" w:w="100"/>
              <w:right w:type="dxa" w:w="140"/>
            </w:tcMar>
          </w:tcPr>
          <w:p>
            <w:pPr>
              <w:spacing w:after="30" w:before="30"/>
            </w:pPr>
            <w:r>
              <w:rPr>
                <w:rFonts w:ascii="Arial" w:cs="Arial" w:eastAsia="Arial" w:hAnsi="Arial"/>
                <w:color w:val="7B3FA0"/>
                <w:sz w:val="20"/>
                <w:szCs w:val="20"/>
              </w:rPr>
              <w:t xml:space="preserve">AI Infrastructure &amp; Control</w:t>
            </w:r>
          </w:p>
          <w:p>
            <w:pPr>
              <w:spacing w:after="0" w:before="20"/>
            </w:pPr>
            <w:r>
              <w:t xml:space="preserve"/>
            </w:r>
          </w:p>
          <w:p>
            <w:pPr>
              <w:pStyle w:val="ListParagraph"/>
              <w:numPr>
                <w:ilvl w:val="0"/>
                <w:numId w:val="2"/>
              </w:numPr>
              <w:spacing w:after="20" w:before="20"/>
            </w:pPr>
            <w:r>
              <w:rPr>
                <w:rFonts w:ascii="Arial" w:cs="Arial" w:eastAsia="Arial" w:hAnsi="Arial"/>
                <w:color w:val="1A1A2E"/>
                <w:sz w:val="19"/>
                <w:szCs w:val="19"/>
              </w:rPr>
              <w:t xml:space="preserve">OpenAI-compatible LLM gateway</w:t>
            </w:r>
          </w:p>
          <w:p>
            <w:pPr>
              <w:pStyle w:val="ListParagraph"/>
              <w:numPr>
                <w:ilvl w:val="0"/>
                <w:numId w:val="2"/>
              </w:numPr>
              <w:spacing w:after="20" w:before="20"/>
            </w:pPr>
            <w:r>
              <w:rPr>
                <w:rFonts w:ascii="Arial" w:cs="Arial" w:eastAsia="Arial" w:hAnsi="Arial"/>
                <w:color w:val="1A1A2E"/>
                <w:sz w:val="19"/>
                <w:szCs w:val="19"/>
              </w:rPr>
              <w:t xml:space="preserve">Multi-model routing &amp; fallback</w:t>
            </w:r>
          </w:p>
          <w:p>
            <w:pPr>
              <w:pStyle w:val="ListParagraph"/>
              <w:numPr>
                <w:ilvl w:val="0"/>
                <w:numId w:val="2"/>
              </w:numPr>
              <w:spacing w:after="20" w:before="20"/>
            </w:pPr>
            <w:r>
              <w:rPr>
                <w:rFonts w:ascii="Arial" w:cs="Arial" w:eastAsia="Arial" w:hAnsi="Arial"/>
                <w:color w:val="1A1A2E"/>
                <w:sz w:val="19"/>
                <w:szCs w:val="19"/>
              </w:rPr>
              <w:t xml:space="preserve">Guardrails &amp; PII masking</w:t>
            </w:r>
          </w:p>
          <w:p>
            <w:pPr>
              <w:pStyle w:val="ListParagraph"/>
              <w:numPr>
                <w:ilvl w:val="0"/>
                <w:numId w:val="2"/>
              </w:numPr>
              <w:spacing w:after="20" w:before="20"/>
            </w:pPr>
            <w:r>
              <w:rPr>
                <w:rFonts w:ascii="Arial" w:cs="Arial" w:eastAsia="Arial" w:hAnsi="Arial"/>
                <w:color w:val="1A1A2E"/>
                <w:sz w:val="19"/>
                <w:szCs w:val="19"/>
              </w:rPr>
              <w:t xml:space="preserve">PromptOps &amp; versioning</w:t>
            </w:r>
          </w:p>
          <w:p>
            <w:pPr>
              <w:pStyle w:val="ListParagraph"/>
              <w:numPr>
                <w:ilvl w:val="0"/>
                <w:numId w:val="2"/>
              </w:numPr>
              <w:spacing w:after="20" w:before="20"/>
            </w:pPr>
            <w:r>
              <w:rPr>
                <w:rFonts w:ascii="Arial" w:cs="Arial" w:eastAsia="Arial" w:hAnsi="Arial"/>
                <w:color w:val="1A1A2E"/>
                <w:sz w:val="19"/>
                <w:szCs w:val="19"/>
              </w:rPr>
              <w:t xml:space="preserve">Evaluation &amp; hallucination testing</w:t>
            </w:r>
          </w:p>
          <w:p>
            <w:pPr>
              <w:pStyle w:val="ListParagraph"/>
              <w:numPr>
                <w:ilvl w:val="0"/>
                <w:numId w:val="2"/>
              </w:numPr>
              <w:spacing w:after="20" w:before="20"/>
            </w:pPr>
            <w:r>
              <w:rPr>
                <w:rFonts w:ascii="Arial" w:cs="Arial" w:eastAsia="Arial" w:hAnsi="Arial"/>
                <w:color w:val="1A1A2E"/>
                <w:sz w:val="19"/>
                <w:szCs w:val="19"/>
              </w:rPr>
              <w:t xml:space="preserve">MCP lifecycle management</w:t>
            </w:r>
          </w:p>
          <w:p>
            <w:pPr>
              <w:pStyle w:val="ListParagraph"/>
              <w:numPr>
                <w:ilvl w:val="0"/>
                <w:numId w:val="2"/>
              </w:numPr>
              <w:spacing w:after="20" w:before="20"/>
            </w:pPr>
            <w:r>
              <w:rPr>
                <w:rFonts w:ascii="Arial" w:cs="Arial" w:eastAsia="Arial" w:hAnsi="Arial"/>
                <w:color w:val="1A1A2E"/>
                <w:sz w:val="19"/>
                <w:szCs w:val="19"/>
              </w:rPr>
              <w:t xml:space="preserve">Agent orchestration &amp; DAG builder</w:t>
            </w:r>
          </w:p>
          <w:p>
            <w:pPr>
              <w:pStyle w:val="ListParagraph"/>
              <w:numPr>
                <w:ilvl w:val="0"/>
                <w:numId w:val="2"/>
              </w:numPr>
              <w:spacing w:after="20" w:before="20"/>
            </w:pPr>
            <w:r>
              <w:rPr>
                <w:rFonts w:ascii="Arial" w:cs="Arial" w:eastAsia="Arial" w:hAnsi="Arial"/>
                <w:color w:val="1A1A2E"/>
                <w:sz w:val="19"/>
                <w:szCs w:val="19"/>
              </w:rPr>
              <w:t xml:space="preserve">Observability &amp; cost tracking</w:t>
            </w:r>
          </w:p>
        </w:tc>
      </w:tr>
      <w:tr>
        <w:tc>
          <w:tcPr>
            <w:tcW w:type="dxa" w:w="3050"/>
            <w:tcBorders>
              <w:top w:val="single" w:color="C8D8EE" w:sz="4"/>
              <w:left w:val="single" w:color="C8D8EE" w:sz="4"/>
              <w:bottom w:val="single" w:color="C8D8EE" w:sz="4"/>
              <w:right w:val="single" w:color="C8D8EE" w:sz="4"/>
            </w:tcBorders>
            <w:shd w:fill="EEF4FB" w:val="clear"/>
            <w:tcMar>
              <w:top w:type="dxa" w:w="100"/>
              <w:left w:type="dxa" w:w="140"/>
              <w:bottom w:type="dxa" w:w="100"/>
              <w:right w:type="dxa" w:w="140"/>
            </w:tcMar>
          </w:tcPr>
          <w:p>
            <w:pPr>
              <w:spacing w:after="30" w:before="30"/>
            </w:pPr>
            <w:r>
              <w:rPr>
                <w:rFonts w:ascii="Arial" w:cs="Arial" w:eastAsia="Arial" w:hAnsi="Arial"/>
                <w:color w:val="1B6CA8"/>
                <w:sz w:val="20"/>
                <w:szCs w:val="20"/>
              </w:rPr>
              <w:t xml:space="preserve">$10,000 / year</w:t>
            </w:r>
          </w:p>
        </w:tc>
        <w:tc>
          <w:tcPr>
            <w:tcW w:type="dxa" w:w="3050"/>
            <w:tcBorders>
              <w:top w:val="single" w:color="C8D8EE" w:sz="4"/>
              <w:left w:val="single" w:color="C8D8EE" w:sz="4"/>
              <w:bottom w:val="single" w:color="C8D8EE" w:sz="4"/>
              <w:right w:val="single" w:color="C8D8EE" w:sz="4"/>
            </w:tcBorders>
            <w:shd w:fill="EEF4FB" w:val="clear"/>
            <w:tcMar>
              <w:top w:type="dxa" w:w="100"/>
              <w:left w:type="dxa" w:w="140"/>
              <w:bottom w:type="dxa" w:w="100"/>
              <w:right w:type="dxa" w:w="140"/>
            </w:tcMar>
          </w:tcPr>
          <w:p>
            <w:pPr>
              <w:spacing w:after="30" w:before="30"/>
            </w:pPr>
            <w:r>
              <w:rPr>
                <w:rFonts w:ascii="Arial" w:cs="Arial" w:eastAsia="Arial" w:hAnsi="Arial"/>
                <w:color w:val="1D7A6A"/>
                <w:sz w:val="20"/>
                <w:szCs w:val="20"/>
              </w:rPr>
              <w:t xml:space="preserve">$10,000 / year</w:t>
            </w:r>
          </w:p>
        </w:tc>
        <w:tc>
          <w:tcPr>
            <w:tcW w:type="dxa" w:w="3060"/>
            <w:tcBorders>
              <w:top w:val="single" w:color="C8D8EE" w:sz="4"/>
              <w:left w:val="single" w:color="C8D8EE" w:sz="4"/>
              <w:bottom w:val="single" w:color="C8D8EE" w:sz="4"/>
              <w:right w:val="single" w:color="C8D8EE" w:sz="4"/>
            </w:tcBorders>
            <w:shd w:fill="EEF4FB" w:val="clear"/>
            <w:tcMar>
              <w:top w:type="dxa" w:w="100"/>
              <w:left w:type="dxa" w:w="140"/>
              <w:bottom w:type="dxa" w:w="100"/>
              <w:right w:type="dxa" w:w="140"/>
            </w:tcMar>
          </w:tcPr>
          <w:p>
            <w:pPr>
              <w:spacing w:after="30" w:before="30"/>
            </w:pPr>
            <w:r>
              <w:rPr>
                <w:rFonts w:ascii="Arial" w:cs="Arial" w:eastAsia="Arial" w:hAnsi="Arial"/>
                <w:color w:val="7B3FA0"/>
                <w:sz w:val="20"/>
                <w:szCs w:val="20"/>
              </w:rPr>
              <w:t xml:space="preserve">$30,000 / year</w:t>
            </w:r>
          </w:p>
        </w:tc>
      </w:tr>
    </w:tbl>
    <w:p>
      <w:pPr>
        <w:spacing w:after="0" w:before="160"/>
      </w:pPr>
      <w:r>
        <w:t xml:space="preserve"/>
      </w:r>
    </w:p>
    <w:p>
      <w:pPr>
        <w:spacing w:after="120" w:before="80"/>
      </w:pPr>
      <w:r>
        <w:rPr>
          <w:rFonts w:ascii="Arial" w:cs="Arial" w:eastAsia="Arial" w:hAnsi="Arial"/>
          <w:b/>
          <w:bCs/>
          <w:color w:val="1A4F8A"/>
          <w:sz w:val="22"/>
          <w:szCs w:val="22"/>
        </w:rPr>
        <w:t xml:space="preserve">Key positioning principle: </w:t>
      </w:r>
      <w:r>
        <w:rPr>
          <w:rFonts w:ascii="Arial" w:cs="Arial" w:eastAsia="Arial" w:hAnsi="Arial"/>
          <w:color w:val="1A1A2E"/>
          <w:sz w:val="22"/>
          <w:szCs w:val="22"/>
        </w:rPr>
        <w:t xml:space="preserve">Ethana is not a chatbot, not a RAG tool, not an LLM gateway alone, and not a compliance checklist. It is the operational control layer that enterprises need to govern AI across every surface — endpoints, workspaces, and the applications they build.</w:t>
      </w:r>
    </w:p>
    <w:p>
      <w:pPr>
        <w:pBdr>
          <w:bottom w:val="single" w:color="C8D8EE" w:sz="4" w:space="1"/>
        </w:pBdr>
        <w:spacing w:after="160" w:before="160"/>
      </w:pPr>
      <w:r>
        <w:t xml:space="preserve"/>
      </w:r>
    </w:p>
    <w:p>
      <w:pPr>
        <w:pStyle w:val="Heading1"/>
        <w:pBdr>
          <w:bottom w:val="single" w:color="1E8FD5" w:sz="8" w:space="6"/>
        </w:pBdr>
        <w:spacing w:after="160" w:before="360"/>
      </w:pPr>
      <w:r>
        <w:rPr>
          <w:rFonts w:ascii="Arial" w:cs="Arial" w:eastAsia="Arial" w:hAnsi="Arial"/>
          <w:b/>
          <w:bCs/>
          <w:color w:val="0F2B4C"/>
          <w:sz w:val="36"/>
          <w:szCs w:val="36"/>
        </w:rPr>
        <w:t xml:space="preserve">2. Market Positioning</w:t>
      </w:r>
    </w:p>
    <w:p>
      <w:pPr>
        <w:pStyle w:val="Heading2"/>
        <w:spacing w:after="120" w:before="280"/>
      </w:pPr>
      <w:r>
        <w:rPr>
          <w:rFonts w:ascii="Arial" w:cs="Arial" w:eastAsia="Arial" w:hAnsi="Arial"/>
          <w:b/>
          <w:bCs/>
          <w:color w:val="1A4F8A"/>
          <w:sz w:val="26"/>
          <w:szCs w:val="26"/>
        </w:rPr>
        <w:t xml:space="preserve">2.1  The Problem Ethana Solves</w:t>
      </w:r>
    </w:p>
    <w:p>
      <w:pPr>
        <w:spacing w:after="120" w:before="80"/>
      </w:pPr>
      <w:r>
        <w:rPr>
          <w:rFonts w:ascii="Arial" w:cs="Arial" w:eastAsia="Arial" w:hAnsi="Arial"/>
          <w:color w:val="1A1A2E"/>
          <w:sz w:val="22"/>
          <w:szCs w:val="22"/>
        </w:rPr>
        <w:t xml:space="preserve">Enterprise AI adoption is outrunning the controls organizations have in place. Three failure modes are appearing simultaneously:</w:t>
      </w:r>
    </w:p>
    <w:p>
      <w:pPr>
        <w:spacing w:after="0" w:before="60"/>
      </w:pPr>
      <w:r>
        <w:t xml:space="preserve"/>
      </w:r>
    </w:p>
    <w:p>
      <w:pPr>
        <w:pStyle w:val="ListParagraph"/>
        <w:numPr>
          <w:ilvl w:val="0"/>
          <w:numId w:val="3"/>
        </w:numPr>
        <w:spacing w:after="40" w:before="40"/>
      </w:pPr>
      <w:r>
        <w:rPr>
          <w:rFonts w:ascii="Arial" w:cs="Arial" w:eastAsia="Arial" w:hAnsi="Arial"/>
          <w:b w:val="false"/>
          <w:bCs w:val="false"/>
          <w:color w:val="1A1A2E"/>
          <w:sz w:val="22"/>
          <w:szCs w:val="22"/>
        </w:rPr>
        <w:t xml:space="preserve">Shadow AI at the endpoint — employees and developers are using ChatGPT, Claude, Gemini, Copilot, Cursor, and dozens of AI browser extensions every day, often with sensitive data, with no organizational visibility.</w:t>
      </w:r>
    </w:p>
    <w:p>
      <w:pPr>
        <w:pStyle w:val="ListParagraph"/>
        <w:numPr>
          <w:ilvl w:val="0"/>
          <w:numId w:val="3"/>
        </w:numPr>
        <w:spacing w:after="40" w:before="40"/>
      </w:pPr>
      <w:r>
        <w:rPr>
          <w:rFonts w:ascii="Arial" w:cs="Arial" w:eastAsia="Arial" w:hAnsi="Arial"/>
          <w:b w:val="false"/>
          <w:bCs w:val="false"/>
          <w:color w:val="1A1A2E"/>
          <w:sz w:val="22"/>
          <w:szCs w:val="22"/>
        </w:rPr>
        <w:t xml:space="preserve">No governed workspace for sensitive AI work — when organizations try to use AI on internal knowledge, they lack an auditable, access-controlled environment. Consumer AI tools are used instead, creating data and compliance risk.</w:t>
      </w:r>
    </w:p>
    <w:p>
      <w:pPr>
        <w:pStyle w:val="ListParagraph"/>
        <w:numPr>
          <w:ilvl w:val="0"/>
          <w:numId w:val="3"/>
        </w:numPr>
        <w:spacing w:after="40" w:before="40"/>
      </w:pPr>
      <w:r>
        <w:rPr>
          <w:rFonts w:ascii="Arial" w:cs="Arial" w:eastAsia="Arial" w:hAnsi="Arial"/>
          <w:b w:val="false"/>
          <w:bCs w:val="false"/>
          <w:color w:val="1A1A2E"/>
          <w:sz w:val="22"/>
          <w:szCs w:val="22"/>
        </w:rPr>
        <w:t xml:space="preserve">Ungoverned AI infrastructure — teams building internal AI applications and agents have no centralized layer for model management, prompt governance, guardrails, or evaluation. Each team builds ad hoc.</w:t>
      </w:r>
    </w:p>
    <w:p>
      <w:pPr>
        <w:spacing w:after="0" w:before="100"/>
      </w:pPr>
      <w:r>
        <w:t xml:space="preserve"/>
      </w:r>
    </w:p>
    <w:p>
      <w:pPr>
        <w:pStyle w:val="Heading2"/>
        <w:spacing w:after="120" w:before="280"/>
      </w:pPr>
      <w:r>
        <w:rPr>
          <w:rFonts w:ascii="Arial" w:cs="Arial" w:eastAsia="Arial" w:hAnsi="Arial"/>
          <w:b/>
          <w:bCs/>
          <w:color w:val="1A4F8A"/>
          <w:sz w:val="26"/>
          <w:szCs w:val="26"/>
        </w:rPr>
        <w:t xml:space="preserve">2.2  Platform Positioning Statement</w:t>
      </w:r>
    </w:p>
    <w:p>
      <w:pPr>
        <w:pBdr>
          <w:left w:val="single" w:color="1E8FD5" w:sz="20" w:space="10"/>
        </w:pBdr>
        <w:spacing w:after="80" w:before="80"/>
        <w:ind w:left="400"/>
      </w:pPr>
      <w:r>
        <w:rPr>
          <w:rFonts w:ascii="Arial" w:cs="Arial" w:eastAsia="Arial" w:hAnsi="Arial"/>
          <w:i/>
          <w:iCs/>
          <w:color w:val="0F2B4C"/>
          <w:sz w:val="22"/>
          <w:szCs w:val="22"/>
        </w:rPr>
        <w:t xml:space="preserve">Ethana is the Enterprise AI Control Plane — the unified layer through which organizations discover what AI is being used, govern how it is used, and build the AI systems they need, all under a shared compliance and audit framework.</w:t>
      </w:r>
    </w:p>
    <w:p>
      <w:pPr>
        <w:spacing w:after="0" w:before="80"/>
      </w:pPr>
      <w:r>
        <w:t xml:space="preserve"/>
      </w:r>
    </w:p>
    <w:p>
      <w:pPr>
        <w:pStyle w:val="Heading2"/>
        <w:spacing w:after="120" w:before="280"/>
      </w:pPr>
      <w:r>
        <w:rPr>
          <w:rFonts w:ascii="Arial" w:cs="Arial" w:eastAsia="Arial" w:hAnsi="Arial"/>
          <w:b/>
          <w:bCs/>
          <w:color w:val="1A4F8A"/>
          <w:sz w:val="26"/>
          <w:szCs w:val="26"/>
        </w:rPr>
        <w:t xml:space="preserve">2.3  Category Relationships</w:t>
      </w:r>
    </w:p>
    <w:p>
      <w:pPr>
        <w:spacing w:after="120" w:before="80"/>
      </w:pPr>
      <w:r>
        <w:rPr>
          <w:rFonts w:ascii="Arial" w:cs="Arial" w:eastAsia="Arial" w:hAnsi="Arial"/>
          <w:color w:val="1A1A2E"/>
          <w:sz w:val="22"/>
          <w:szCs w:val="22"/>
        </w:rPr>
        <w:t xml:space="preserve">Ethana spans several established software categories. This is a strength, not a liability — it means a single platform replaces or consolidates multiple point solutions:</w:t>
      </w:r>
    </w:p>
    <w:p>
      <w:pPr>
        <w:spacing w:after="0" w:before="60"/>
      </w:pPr>
      <w:r>
        <w:t xml:space="preserve"/>
      </w:r>
    </w:p>
    <w:p>
      <w:pPr>
        <w:pStyle w:val="ListParagraph"/>
        <w:numPr>
          <w:ilvl w:val="0"/>
          <w:numId w:val="3"/>
        </w:numPr>
        <w:spacing w:after="40" w:before="40"/>
      </w:pPr>
      <w:r>
        <w:rPr>
          <w:rFonts w:ascii="Arial" w:cs="Arial" w:eastAsia="Arial" w:hAnsi="Arial"/>
          <w:b w:val="false"/>
          <w:bCs w:val="false"/>
          <w:color w:val="1A1A2E"/>
          <w:sz w:val="22"/>
          <w:szCs w:val="22"/>
        </w:rPr>
        <w:t xml:space="preserve">AI Gateway — Ethana Build includes a production-grade, OpenAI-compatible gateway with multi-model routing.</w:t>
      </w:r>
    </w:p>
    <w:p>
      <w:pPr>
        <w:pStyle w:val="ListParagraph"/>
        <w:numPr>
          <w:ilvl w:val="0"/>
          <w:numId w:val="3"/>
        </w:numPr>
        <w:spacing w:after="40" w:before="40"/>
      </w:pPr>
      <w:r>
        <w:rPr>
          <w:rFonts w:ascii="Arial" w:cs="Arial" w:eastAsia="Arial" w:hAnsi="Arial"/>
          <w:b w:val="false"/>
          <w:bCs w:val="false"/>
          <w:color w:val="1A1A2E"/>
          <w:sz w:val="22"/>
          <w:szCs w:val="22"/>
        </w:rPr>
        <w:t xml:space="preserve">AI Observability — shared across all three products; end-to-end tracing, usage analytics, and operational dashboards.</w:t>
      </w:r>
    </w:p>
    <w:p>
      <w:pPr>
        <w:pStyle w:val="ListParagraph"/>
        <w:numPr>
          <w:ilvl w:val="0"/>
          <w:numId w:val="3"/>
        </w:numPr>
        <w:spacing w:after="40" w:before="40"/>
      </w:pPr>
      <w:r>
        <w:rPr>
          <w:rFonts w:ascii="Arial" w:cs="Arial" w:eastAsia="Arial" w:hAnsi="Arial"/>
          <w:b w:val="false"/>
          <w:bCs w:val="false"/>
          <w:color w:val="1A1A2E"/>
          <w:sz w:val="22"/>
          <w:szCs w:val="22"/>
        </w:rPr>
        <w:t xml:space="preserve">AI Governance &amp; Security — shared compliance layer covering audit logging, usage attribution, and access controls. PII masking and guardrails are available in Build and Workspace; Edge enforcement is on the roadmap.</w:t>
      </w:r>
    </w:p>
    <w:p>
      <w:pPr>
        <w:pStyle w:val="ListParagraph"/>
        <w:numPr>
          <w:ilvl w:val="0"/>
          <w:numId w:val="3"/>
        </w:numPr>
        <w:spacing w:after="40" w:before="40"/>
      </w:pPr>
      <w:r>
        <w:rPr>
          <w:rFonts w:ascii="Arial" w:cs="Arial" w:eastAsia="Arial" w:hAnsi="Arial"/>
          <w:b w:val="false"/>
          <w:bCs w:val="false"/>
          <w:color w:val="1A1A2E"/>
          <w:sz w:val="22"/>
          <w:szCs w:val="22"/>
        </w:rPr>
        <w:t xml:space="preserve">Enterprise AI Chat — Ethana Workspace provides a self-hosted, governed chat and knowledge platform.</w:t>
      </w:r>
    </w:p>
    <w:p>
      <w:pPr>
        <w:pStyle w:val="ListParagraph"/>
        <w:numPr>
          <w:ilvl w:val="0"/>
          <w:numId w:val="3"/>
        </w:numPr>
        <w:spacing w:after="40" w:before="40"/>
      </w:pPr>
      <w:r>
        <w:rPr>
          <w:rFonts w:ascii="Arial" w:cs="Arial" w:eastAsia="Arial" w:hAnsi="Arial"/>
          <w:b w:val="false"/>
          <w:bCs w:val="false"/>
          <w:color w:val="1A1A2E"/>
          <w:sz w:val="22"/>
          <w:szCs w:val="22"/>
        </w:rPr>
        <w:t xml:space="preserve">AI Security / CASB — Ethana Edge provides endpoint and browser-level AI visibility, equivalent to a next-generation AI-aware CASB.</w:t>
      </w:r>
    </w:p>
    <w:p>
      <w:pPr>
        <w:pStyle w:val="ListParagraph"/>
        <w:numPr>
          <w:ilvl w:val="0"/>
          <w:numId w:val="3"/>
        </w:numPr>
        <w:spacing w:after="40" w:before="40"/>
      </w:pPr>
      <w:r>
        <w:rPr>
          <w:rFonts w:ascii="Arial" w:cs="Arial" w:eastAsia="Arial" w:hAnsi="Arial"/>
          <w:b w:val="false"/>
          <w:bCs w:val="false"/>
          <w:color w:val="1A1A2E"/>
          <w:sz w:val="22"/>
          <w:szCs w:val="22"/>
        </w:rPr>
        <w:t xml:space="preserve">Agent Development Platform — Ethana Build includes a visual agent builder, MCP lifecycle management, and workflow orchestration.</w:t>
      </w:r>
    </w:p>
    <w:p>
      <w:pPr>
        <w:pBdr>
          <w:bottom w:val="single" w:color="C8D8EE" w:sz="4" w:space="1"/>
        </w:pBdr>
        <w:spacing w:after="160" w:before="160"/>
      </w:pPr>
      <w:r>
        <w:t xml:space="preserve"/>
      </w:r>
    </w:p>
    <w:p>
      <w:pPr>
        <w:pStyle w:val="Heading1"/>
        <w:pBdr>
          <w:bottom w:val="single" w:color="1E8FD5" w:sz="8" w:space="6"/>
        </w:pBdr>
        <w:spacing w:after="160" w:before="360"/>
      </w:pPr>
      <w:r>
        <w:rPr>
          <w:rFonts w:ascii="Arial" w:cs="Arial" w:eastAsia="Arial" w:hAnsi="Arial"/>
          <w:b/>
          <w:bCs/>
          <w:color w:val="0F2B4C"/>
          <w:sz w:val="36"/>
          <w:szCs w:val="36"/>
        </w:rPr>
        <w:t xml:space="preserve">3. Ideal Customer Profile (ICP)</w:t>
      </w:r>
    </w:p>
    <w:p>
      <w:pPr>
        <w:pStyle w:val="Heading2"/>
        <w:spacing w:after="120" w:before="280"/>
      </w:pPr>
      <w:r>
        <w:rPr>
          <w:rFonts w:ascii="Arial" w:cs="Arial" w:eastAsia="Arial" w:hAnsi="Arial"/>
          <w:b/>
          <w:bCs/>
          <w:color w:val="1A4F8A"/>
          <w:sz w:val="26"/>
          <w:szCs w:val="26"/>
        </w:rPr>
        <w:t xml:space="preserve">3.1  Firmographic Fit</w:t>
      </w:r>
    </w:p>
    <w:p>
      <w:pPr>
        <w:pStyle w:val="ListParagraph"/>
        <w:numPr>
          <w:ilvl w:val="0"/>
          <w:numId w:val="3"/>
        </w:numPr>
        <w:spacing w:after="40" w:before="40"/>
      </w:pPr>
      <w:r>
        <w:rPr>
          <w:rFonts w:ascii="Arial" w:cs="Arial" w:eastAsia="Arial" w:hAnsi="Arial"/>
          <w:b w:val="false"/>
          <w:bCs w:val="false"/>
          <w:color w:val="1A1A2E"/>
          <w:sz w:val="22"/>
          <w:szCs w:val="22"/>
        </w:rPr>
        <w:t xml:space="preserve">Annual revenue above $50M, or significant AI developer footprint</w:t>
      </w:r>
    </w:p>
    <w:p>
      <w:pPr>
        <w:pStyle w:val="ListParagraph"/>
        <w:numPr>
          <w:ilvl w:val="0"/>
          <w:numId w:val="3"/>
        </w:numPr>
        <w:spacing w:after="40" w:before="40"/>
      </w:pPr>
      <w:r>
        <w:rPr>
          <w:rFonts w:ascii="Arial" w:cs="Arial" w:eastAsia="Arial" w:hAnsi="Arial"/>
          <w:b w:val="false"/>
          <w:bCs w:val="false"/>
          <w:color w:val="1A1A2E"/>
          <w:sz w:val="22"/>
          <w:szCs w:val="22"/>
        </w:rPr>
        <w:t xml:space="preserve">Regulated industry or contractually obligated to demonstrate AI accountability</w:t>
      </w:r>
    </w:p>
    <w:p>
      <w:pPr>
        <w:pStyle w:val="ListParagraph"/>
        <w:numPr>
          <w:ilvl w:val="0"/>
          <w:numId w:val="3"/>
        </w:numPr>
        <w:spacing w:after="40" w:before="40"/>
      </w:pPr>
      <w:r>
        <w:rPr>
          <w:rFonts w:ascii="Arial" w:cs="Arial" w:eastAsia="Arial" w:hAnsi="Arial"/>
          <w:b w:val="false"/>
          <w:bCs w:val="false"/>
          <w:color w:val="1A1A2E"/>
          <w:sz w:val="22"/>
          <w:szCs w:val="22"/>
        </w:rPr>
        <w:t xml:space="preserve">Workforce of 200+ employees where shadow AI is statistically certain</w:t>
      </w:r>
    </w:p>
    <w:p>
      <w:pPr>
        <w:pStyle w:val="ListParagraph"/>
        <w:numPr>
          <w:ilvl w:val="0"/>
          <w:numId w:val="3"/>
        </w:numPr>
        <w:spacing w:after="40" w:before="40"/>
      </w:pPr>
      <w:r>
        <w:rPr>
          <w:rFonts w:ascii="Arial" w:cs="Arial" w:eastAsia="Arial" w:hAnsi="Arial"/>
          <w:b w:val="false"/>
          <w:bCs w:val="false"/>
          <w:color w:val="1A1A2E"/>
          <w:sz w:val="22"/>
          <w:szCs w:val="22"/>
        </w:rPr>
        <w:t xml:space="preserve">Technology or engineering team actively building AI applications or deploying agents</w:t>
      </w:r>
    </w:p>
    <w:p>
      <w:pPr>
        <w:pStyle w:val="ListParagraph"/>
        <w:numPr>
          <w:ilvl w:val="0"/>
          <w:numId w:val="3"/>
        </w:numPr>
        <w:spacing w:after="40" w:before="40"/>
      </w:pPr>
      <w:r>
        <w:rPr>
          <w:rFonts w:ascii="Arial" w:cs="Arial" w:eastAsia="Arial" w:hAnsi="Arial"/>
          <w:b w:val="false"/>
          <w:bCs w:val="false"/>
          <w:color w:val="1A1A2E"/>
          <w:sz w:val="22"/>
          <w:szCs w:val="22"/>
        </w:rPr>
        <w:t xml:space="preserve">Preference for on-premises, VPC, or air-gapped deployment over SaaS-only solutions</w:t>
      </w:r>
    </w:p>
    <w:p>
      <w:pPr>
        <w:spacing w:after="0" w:before="100"/>
      </w:pPr>
      <w:r>
        <w:t xml:space="preserve"/>
      </w:r>
    </w:p>
    <w:p>
      <w:pPr>
        <w:pStyle w:val="Heading2"/>
        <w:spacing w:after="120" w:before="280"/>
      </w:pPr>
      <w:r>
        <w:rPr>
          <w:rFonts w:ascii="Arial" w:cs="Arial" w:eastAsia="Arial" w:hAnsi="Arial"/>
          <w:b/>
          <w:bCs/>
          <w:color w:val="1A4F8A"/>
          <w:sz w:val="26"/>
          <w:szCs w:val="26"/>
        </w:rPr>
        <w:t xml:space="preserve">3.2  Target Segments by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60"/>
        <w:gridCol w:w="2000"/>
      </w:tblGrid>
      <w:tr>
        <w:tc>
          <w:tcPr>
            <w:tcW w:type="dxa" w:w="2000"/>
            <w:tcBorders>
              <w:top w:val="single" w:color="C8D8EE" w:sz="4"/>
              <w:left w:val="single" w:color="C8D8EE" w:sz="4"/>
              <w:bottom w:val="single" w:color="C8D8EE" w:sz="4"/>
              <w:right w:val="single" w:color="C8D8EE" w:sz="4"/>
            </w:tcBorders>
            <w:shd w:fill="1A4F8A"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2500"/>
            <w:tcBorders>
              <w:top w:val="single" w:color="C8D8EE" w:sz="4"/>
              <w:left w:val="single" w:color="C8D8EE" w:sz="4"/>
              <w:bottom w:val="single" w:color="C8D8EE" w:sz="4"/>
              <w:right w:val="single" w:color="C8D8EE" w:sz="4"/>
            </w:tcBorders>
            <w:shd w:fill="1A4F8A" w:val="clear"/>
            <w:tcMar>
              <w:top w:type="dxa" w:w="80"/>
              <w:left w:type="dxa" w:w="120"/>
              <w:bottom w:type="dxa" w:w="80"/>
              <w:right w:type="dxa" w:w="120"/>
            </w:tcMar>
          </w:tcPr>
          <w:p>
            <w:r>
              <w:rPr>
                <w:rFonts w:ascii="Arial" w:cs="Arial" w:eastAsia="Arial" w:hAnsi="Arial"/>
                <w:b/>
                <w:bCs/>
                <w:color w:val="FFFFFF"/>
                <w:sz w:val="20"/>
                <w:szCs w:val="20"/>
              </w:rPr>
              <w:t xml:space="preserve">Primary Buyer</w:t>
            </w:r>
          </w:p>
        </w:tc>
        <w:tc>
          <w:tcPr>
            <w:tcW w:type="dxa" w:w="2860"/>
            <w:tcBorders>
              <w:top w:val="single" w:color="C8D8EE" w:sz="4"/>
              <w:left w:val="single" w:color="C8D8EE" w:sz="4"/>
              <w:bottom w:val="single" w:color="C8D8EE" w:sz="4"/>
              <w:right w:val="single" w:color="C8D8EE" w:sz="4"/>
            </w:tcBorders>
            <w:shd w:fill="1A4F8A" w:val="clear"/>
            <w:tcMar>
              <w:top w:type="dxa" w:w="80"/>
              <w:left w:type="dxa" w:w="120"/>
              <w:bottom w:type="dxa" w:w="80"/>
              <w:right w:type="dxa" w:w="120"/>
            </w:tcMar>
          </w:tcPr>
          <w:p>
            <w:r>
              <w:rPr>
                <w:rFonts w:ascii="Arial" w:cs="Arial" w:eastAsia="Arial" w:hAnsi="Arial"/>
                <w:b/>
                <w:bCs/>
                <w:color w:val="FFFFFF"/>
                <w:sz w:val="20"/>
                <w:szCs w:val="20"/>
              </w:rPr>
              <w:t xml:space="preserve">Key Pain</w:t>
            </w:r>
          </w:p>
        </w:tc>
        <w:tc>
          <w:tcPr>
            <w:tcW w:type="dxa" w:w="2000"/>
            <w:tcBorders>
              <w:top w:val="single" w:color="C8D8EE" w:sz="4"/>
              <w:left w:val="single" w:color="C8D8EE" w:sz="4"/>
              <w:bottom w:val="single" w:color="C8D8EE" w:sz="4"/>
              <w:right w:val="single" w:color="C8D8EE" w:sz="4"/>
            </w:tcBorders>
            <w:shd w:fill="1A4F8A" w:val="clear"/>
            <w:tcMar>
              <w:top w:type="dxa" w:w="80"/>
              <w:left w:type="dxa" w:w="120"/>
              <w:bottom w:type="dxa" w:w="80"/>
              <w:right w:type="dxa" w:w="120"/>
            </w:tcMar>
          </w:tcPr>
          <w:p>
            <w:r>
              <w:rPr>
                <w:rFonts w:ascii="Arial" w:cs="Arial" w:eastAsia="Arial" w:hAnsi="Arial"/>
                <w:b/>
                <w:bCs/>
                <w:color w:val="FFFFFF"/>
                <w:sz w:val="20"/>
                <w:szCs w:val="20"/>
              </w:rPr>
              <w:t xml:space="preserve">Entry Product</w:t>
            </w:r>
          </w:p>
        </w:tc>
      </w:tr>
      <w:tr>
        <w:tc>
          <w:tcPr>
            <w:tcW w:type="dxa" w:w="2000"/>
            <w:tcBorders>
              <w:top w:val="single" w:color="C8D8EE" w:sz="4"/>
              <w:left w:val="single" w:color="C8D8EE" w:sz="4"/>
              <w:bottom w:val="single" w:color="C8D8EE" w:sz="4"/>
              <w:right w:val="single" w:color="C8D8EE" w:sz="4"/>
            </w:tcBorders>
            <w:shd w:fill="EEF4FB" w:val="clear"/>
            <w:tcMar>
              <w:top w:type="dxa" w:w="80"/>
              <w:left w:type="dxa" w:w="120"/>
              <w:bottom w:type="dxa" w:w="80"/>
              <w:right w:type="dxa" w:w="120"/>
            </w:tcMar>
          </w:tcPr>
          <w:p>
            <w:pPr>
              <w:spacing w:after="40" w:before="40"/>
            </w:pPr>
            <w:r>
              <w:rPr>
                <w:rFonts w:ascii="Arial" w:cs="Arial" w:eastAsia="Arial" w:hAnsi="Arial"/>
                <w:b/>
                <w:bCs/>
                <w:color w:val="1A1A2E"/>
                <w:sz w:val="20"/>
                <w:szCs w:val="20"/>
              </w:rPr>
              <w:t xml:space="preserve">BFSI</w:t>
            </w:r>
          </w:p>
        </w:tc>
        <w:tc>
          <w:tcPr>
            <w:tcW w:type="dxa" w:w="2500"/>
            <w:tcBorders>
              <w:top w:val="single" w:color="C8D8EE" w:sz="4"/>
              <w:left w:val="single" w:color="C8D8EE" w:sz="4"/>
              <w:bottom w:val="single" w:color="C8D8EE" w:sz="4"/>
              <w:right w:val="single" w:color="C8D8EE" w:sz="4"/>
            </w:tcBorders>
            <w:shd w:fill="EEF4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CISO / CIO</w:t>
            </w:r>
          </w:p>
        </w:tc>
        <w:tc>
          <w:tcPr>
            <w:tcW w:type="dxa" w:w="2860"/>
            <w:tcBorders>
              <w:top w:val="single" w:color="C8D8EE" w:sz="4"/>
              <w:left w:val="single" w:color="C8D8EE" w:sz="4"/>
              <w:bottom w:val="single" w:color="C8D8EE" w:sz="4"/>
              <w:right w:val="single" w:color="C8D8EE" w:sz="4"/>
            </w:tcBorders>
            <w:shd w:fill="EEF4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Regulatory AI audit registers (RBI, SEBI, IRDAI, DPDP)</w:t>
            </w:r>
          </w:p>
        </w:tc>
        <w:tc>
          <w:tcPr>
            <w:tcW w:type="dxa" w:w="2000"/>
            <w:tcBorders>
              <w:top w:val="single" w:color="C8D8EE" w:sz="4"/>
              <w:left w:val="single" w:color="C8D8EE" w:sz="4"/>
              <w:bottom w:val="single" w:color="C8D8EE" w:sz="4"/>
              <w:right w:val="single" w:color="C8D8EE" w:sz="4"/>
            </w:tcBorders>
            <w:shd w:fill="EEF4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Edge</w:t>
            </w:r>
          </w:p>
        </w:tc>
      </w:tr>
      <w:tr>
        <w:tc>
          <w:tcPr>
            <w:tcW w:type="dxa" w:w="2000"/>
            <w:tcBorders>
              <w:top w:val="single" w:color="C8D8EE" w:sz="4"/>
              <w:left w:val="single" w:color="C8D8EE" w:sz="4"/>
              <w:bottom w:val="single" w:color="C8D8EE" w:sz="4"/>
              <w:right w:val="single" w:color="C8D8EE" w:sz="4"/>
            </w:tcBorders>
            <w:shd w:fill="FFFFFF" w:val="clear"/>
            <w:tcMar>
              <w:top w:type="dxa" w:w="80"/>
              <w:left w:type="dxa" w:w="120"/>
              <w:bottom w:type="dxa" w:w="80"/>
              <w:right w:type="dxa" w:w="120"/>
            </w:tcMar>
          </w:tcPr>
          <w:p>
            <w:pPr>
              <w:spacing w:after="40" w:before="40"/>
            </w:pPr>
            <w:r>
              <w:rPr>
                <w:rFonts w:ascii="Arial" w:cs="Arial" w:eastAsia="Arial" w:hAnsi="Arial"/>
                <w:b/>
                <w:bCs/>
                <w:color w:val="1A1A2E"/>
                <w:sz w:val="20"/>
                <w:szCs w:val="20"/>
              </w:rPr>
              <w:t xml:space="preserve">Insurance</w:t>
            </w:r>
          </w:p>
        </w:tc>
        <w:tc>
          <w:tcPr>
            <w:tcW w:type="dxa" w:w="2500"/>
            <w:tcBorders>
              <w:top w:val="single" w:color="C8D8EE" w:sz="4"/>
              <w:left w:val="single" w:color="C8D8EE" w:sz="4"/>
              <w:bottom w:val="single" w:color="C8D8EE" w:sz="4"/>
              <w:right w:val="single" w:color="C8D8EE"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CISO / Head of Compliance</w:t>
            </w:r>
          </w:p>
        </w:tc>
        <w:tc>
          <w:tcPr>
            <w:tcW w:type="dxa" w:w="2860"/>
            <w:tcBorders>
              <w:top w:val="single" w:color="C8D8EE" w:sz="4"/>
              <w:left w:val="single" w:color="C8D8EE" w:sz="4"/>
              <w:bottom w:val="single" w:color="C8D8EE" w:sz="4"/>
              <w:right w:val="single" w:color="C8D8EE"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IRDAI inspection readiness, AI usage audit trails</w:t>
            </w:r>
          </w:p>
        </w:tc>
        <w:tc>
          <w:tcPr>
            <w:tcW w:type="dxa" w:w="2000"/>
            <w:tcBorders>
              <w:top w:val="single" w:color="C8D8EE" w:sz="4"/>
              <w:left w:val="single" w:color="C8D8EE" w:sz="4"/>
              <w:bottom w:val="single" w:color="C8D8EE" w:sz="4"/>
              <w:right w:val="single" w:color="C8D8EE"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Edge</w:t>
            </w:r>
          </w:p>
        </w:tc>
      </w:tr>
      <w:tr>
        <w:tc>
          <w:tcPr>
            <w:tcW w:type="dxa" w:w="2000"/>
            <w:tcBorders>
              <w:top w:val="single" w:color="C8D8EE" w:sz="4"/>
              <w:left w:val="single" w:color="C8D8EE" w:sz="4"/>
              <w:bottom w:val="single" w:color="C8D8EE" w:sz="4"/>
              <w:right w:val="single" w:color="C8D8EE" w:sz="4"/>
            </w:tcBorders>
            <w:shd w:fill="EEF4FB" w:val="clear"/>
            <w:tcMar>
              <w:top w:type="dxa" w:w="80"/>
              <w:left w:type="dxa" w:w="120"/>
              <w:bottom w:type="dxa" w:w="80"/>
              <w:right w:type="dxa" w:w="120"/>
            </w:tcMar>
          </w:tcPr>
          <w:p>
            <w:pPr>
              <w:spacing w:after="40" w:before="40"/>
            </w:pPr>
            <w:r>
              <w:rPr>
                <w:rFonts w:ascii="Arial" w:cs="Arial" w:eastAsia="Arial" w:hAnsi="Arial"/>
                <w:b/>
                <w:bCs/>
                <w:color w:val="1A1A2E"/>
                <w:sz w:val="20"/>
                <w:szCs w:val="20"/>
              </w:rPr>
              <w:t xml:space="preserve">IT Services / ITeS</w:t>
            </w:r>
          </w:p>
        </w:tc>
        <w:tc>
          <w:tcPr>
            <w:tcW w:type="dxa" w:w="2500"/>
            <w:tcBorders>
              <w:top w:val="single" w:color="C8D8EE" w:sz="4"/>
              <w:left w:val="single" w:color="C8D8EE" w:sz="4"/>
              <w:bottom w:val="single" w:color="C8D8EE" w:sz="4"/>
              <w:right w:val="single" w:color="C8D8EE" w:sz="4"/>
            </w:tcBorders>
            <w:shd w:fill="EEF4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CIO / Delivery Head</w:t>
            </w:r>
          </w:p>
        </w:tc>
        <w:tc>
          <w:tcPr>
            <w:tcW w:type="dxa" w:w="2860"/>
            <w:tcBorders>
              <w:top w:val="single" w:color="C8D8EE" w:sz="4"/>
              <w:left w:val="single" w:color="C8D8EE" w:sz="4"/>
              <w:bottom w:val="single" w:color="C8D8EE" w:sz="4"/>
              <w:right w:val="single" w:color="C8D8EE" w:sz="4"/>
            </w:tcBorders>
            <w:shd w:fill="EEF4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Client MSA compliance, per-engagement isolation</w:t>
            </w:r>
          </w:p>
        </w:tc>
        <w:tc>
          <w:tcPr>
            <w:tcW w:type="dxa" w:w="2000"/>
            <w:tcBorders>
              <w:top w:val="single" w:color="C8D8EE" w:sz="4"/>
              <w:left w:val="single" w:color="C8D8EE" w:sz="4"/>
              <w:bottom w:val="single" w:color="C8D8EE" w:sz="4"/>
              <w:right w:val="single" w:color="C8D8EE" w:sz="4"/>
            </w:tcBorders>
            <w:shd w:fill="EEF4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Build + Edge</w:t>
            </w:r>
          </w:p>
        </w:tc>
      </w:tr>
      <w:tr>
        <w:tc>
          <w:tcPr>
            <w:tcW w:type="dxa" w:w="2000"/>
            <w:tcBorders>
              <w:top w:val="single" w:color="C8D8EE" w:sz="4"/>
              <w:left w:val="single" w:color="C8D8EE" w:sz="4"/>
              <w:bottom w:val="single" w:color="C8D8EE" w:sz="4"/>
              <w:right w:val="single" w:color="C8D8EE" w:sz="4"/>
            </w:tcBorders>
            <w:shd w:fill="FFFFFF" w:val="clear"/>
            <w:tcMar>
              <w:top w:type="dxa" w:w="80"/>
              <w:left w:type="dxa" w:w="120"/>
              <w:bottom w:type="dxa" w:w="80"/>
              <w:right w:type="dxa" w:w="120"/>
            </w:tcMar>
          </w:tcPr>
          <w:p>
            <w:pPr>
              <w:spacing w:after="40" w:before="40"/>
            </w:pPr>
            <w:r>
              <w:rPr>
                <w:rFonts w:ascii="Arial" w:cs="Arial" w:eastAsia="Arial" w:hAnsi="Arial"/>
                <w:b/>
                <w:bCs/>
                <w:color w:val="1A1A2E"/>
                <w:sz w:val="20"/>
                <w:szCs w:val="20"/>
              </w:rPr>
              <w:t xml:space="preserve">Healthcare</w:t>
            </w:r>
          </w:p>
        </w:tc>
        <w:tc>
          <w:tcPr>
            <w:tcW w:type="dxa" w:w="2500"/>
            <w:tcBorders>
              <w:top w:val="single" w:color="C8D8EE" w:sz="4"/>
              <w:left w:val="single" w:color="C8D8EE" w:sz="4"/>
              <w:bottom w:val="single" w:color="C8D8EE" w:sz="4"/>
              <w:right w:val="single" w:color="C8D8EE"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CISO / CTO</w:t>
            </w:r>
          </w:p>
        </w:tc>
        <w:tc>
          <w:tcPr>
            <w:tcW w:type="dxa" w:w="2860"/>
            <w:tcBorders>
              <w:top w:val="single" w:color="C8D8EE" w:sz="4"/>
              <w:left w:val="single" w:color="C8D8EE" w:sz="4"/>
              <w:bottom w:val="single" w:color="C8D8EE" w:sz="4"/>
              <w:right w:val="single" w:color="C8D8EE"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PHI leakage via AI tools, DPDP obligations</w:t>
            </w:r>
          </w:p>
        </w:tc>
        <w:tc>
          <w:tcPr>
            <w:tcW w:type="dxa" w:w="2000"/>
            <w:tcBorders>
              <w:top w:val="single" w:color="C8D8EE" w:sz="4"/>
              <w:left w:val="single" w:color="C8D8EE" w:sz="4"/>
              <w:bottom w:val="single" w:color="C8D8EE" w:sz="4"/>
              <w:right w:val="single" w:color="C8D8EE"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Edge + Workspace</w:t>
            </w:r>
          </w:p>
        </w:tc>
      </w:tr>
      <w:tr>
        <w:tc>
          <w:tcPr>
            <w:tcW w:type="dxa" w:w="2000"/>
            <w:tcBorders>
              <w:top w:val="single" w:color="C8D8EE" w:sz="4"/>
              <w:left w:val="single" w:color="C8D8EE" w:sz="4"/>
              <w:bottom w:val="single" w:color="C8D8EE" w:sz="4"/>
              <w:right w:val="single" w:color="C8D8EE" w:sz="4"/>
            </w:tcBorders>
            <w:shd w:fill="EEF4FB" w:val="clear"/>
            <w:tcMar>
              <w:top w:type="dxa" w:w="80"/>
              <w:left w:type="dxa" w:w="120"/>
              <w:bottom w:type="dxa" w:w="80"/>
              <w:right w:type="dxa" w:w="120"/>
            </w:tcMar>
          </w:tcPr>
          <w:p>
            <w:pPr>
              <w:spacing w:after="40" w:before="40"/>
            </w:pPr>
            <w:r>
              <w:rPr>
                <w:rFonts w:ascii="Arial" w:cs="Arial" w:eastAsia="Arial" w:hAnsi="Arial"/>
                <w:b/>
                <w:bCs/>
                <w:color w:val="1A1A2E"/>
                <w:sz w:val="20"/>
                <w:szCs w:val="20"/>
              </w:rPr>
              <w:t xml:space="preserve">Enterprise Tech</w:t>
            </w:r>
          </w:p>
        </w:tc>
        <w:tc>
          <w:tcPr>
            <w:tcW w:type="dxa" w:w="2500"/>
            <w:tcBorders>
              <w:top w:val="single" w:color="C8D8EE" w:sz="4"/>
              <w:left w:val="single" w:color="C8D8EE" w:sz="4"/>
              <w:bottom w:val="single" w:color="C8D8EE" w:sz="4"/>
              <w:right w:val="single" w:color="C8D8EE" w:sz="4"/>
            </w:tcBorders>
            <w:shd w:fill="EEF4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Platform / DevEx Lead</w:t>
            </w:r>
          </w:p>
        </w:tc>
        <w:tc>
          <w:tcPr>
            <w:tcW w:type="dxa" w:w="2860"/>
            <w:tcBorders>
              <w:top w:val="single" w:color="C8D8EE" w:sz="4"/>
              <w:left w:val="single" w:color="C8D8EE" w:sz="4"/>
              <w:bottom w:val="single" w:color="C8D8EE" w:sz="4"/>
              <w:right w:val="single" w:color="C8D8EE" w:sz="4"/>
            </w:tcBorders>
            <w:shd w:fill="EEF4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Governing developer AI tools, agentic infrastructure</w:t>
            </w:r>
          </w:p>
        </w:tc>
        <w:tc>
          <w:tcPr>
            <w:tcW w:type="dxa" w:w="2000"/>
            <w:tcBorders>
              <w:top w:val="single" w:color="C8D8EE" w:sz="4"/>
              <w:left w:val="single" w:color="C8D8EE" w:sz="4"/>
              <w:bottom w:val="single" w:color="C8D8EE" w:sz="4"/>
              <w:right w:val="single" w:color="C8D8EE" w:sz="4"/>
            </w:tcBorders>
            <w:shd w:fill="EEF4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Build</w:t>
            </w:r>
          </w:p>
        </w:tc>
      </w:tr>
      <w:tr>
        <w:tc>
          <w:tcPr>
            <w:tcW w:type="dxa" w:w="2000"/>
            <w:tcBorders>
              <w:top w:val="single" w:color="C8D8EE" w:sz="4"/>
              <w:left w:val="single" w:color="C8D8EE" w:sz="4"/>
              <w:bottom w:val="single" w:color="C8D8EE" w:sz="4"/>
              <w:right w:val="single" w:color="C8D8EE" w:sz="4"/>
            </w:tcBorders>
            <w:shd w:fill="FFFFFF" w:val="clear"/>
            <w:tcMar>
              <w:top w:type="dxa" w:w="80"/>
              <w:left w:type="dxa" w:w="120"/>
              <w:bottom w:type="dxa" w:w="80"/>
              <w:right w:type="dxa" w:w="120"/>
            </w:tcMar>
          </w:tcPr>
          <w:p>
            <w:pPr>
              <w:spacing w:after="40" w:before="40"/>
            </w:pPr>
            <w:r>
              <w:rPr>
                <w:rFonts w:ascii="Arial" w:cs="Arial" w:eastAsia="Arial" w:hAnsi="Arial"/>
                <w:b/>
                <w:bCs/>
                <w:color w:val="1A1A2E"/>
                <w:sz w:val="20"/>
                <w:szCs w:val="20"/>
              </w:rPr>
              <w:t xml:space="preserve">Professional Services</w:t>
            </w:r>
          </w:p>
        </w:tc>
        <w:tc>
          <w:tcPr>
            <w:tcW w:type="dxa" w:w="2500"/>
            <w:tcBorders>
              <w:top w:val="single" w:color="C8D8EE" w:sz="4"/>
              <w:left w:val="single" w:color="C8D8EE" w:sz="4"/>
              <w:bottom w:val="single" w:color="C8D8EE" w:sz="4"/>
              <w:right w:val="single" w:color="C8D8EE"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CIO / Operations</w:t>
            </w:r>
          </w:p>
        </w:tc>
        <w:tc>
          <w:tcPr>
            <w:tcW w:type="dxa" w:w="2860"/>
            <w:tcBorders>
              <w:top w:val="single" w:color="C8D8EE" w:sz="4"/>
              <w:left w:val="single" w:color="C8D8EE" w:sz="4"/>
              <w:bottom w:val="single" w:color="C8D8EE" w:sz="4"/>
              <w:right w:val="single" w:color="C8D8EE"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Sensitive client data exposure in AI workflows</w:t>
            </w:r>
          </w:p>
        </w:tc>
        <w:tc>
          <w:tcPr>
            <w:tcW w:type="dxa" w:w="2000"/>
            <w:tcBorders>
              <w:top w:val="single" w:color="C8D8EE" w:sz="4"/>
              <w:left w:val="single" w:color="C8D8EE" w:sz="4"/>
              <w:bottom w:val="single" w:color="C8D8EE" w:sz="4"/>
              <w:right w:val="single" w:color="C8D8EE"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Edge + Workspace</w:t>
            </w:r>
          </w:p>
        </w:tc>
      </w:tr>
    </w:tbl>
    <w:p>
      <w:pPr>
        <w:spacing w:after="0" w:before="120"/>
      </w:pPr>
      <w:r>
        <w:t xml:space="preserve"/>
      </w:r>
    </w:p>
    <w:p>
      <w:pPr>
        <w:pStyle w:val="Heading2"/>
        <w:spacing w:after="120" w:before="280"/>
      </w:pPr>
      <w:r>
        <w:rPr>
          <w:rFonts w:ascii="Arial" w:cs="Arial" w:eastAsia="Arial" w:hAnsi="Arial"/>
          <w:b/>
          <w:bCs/>
          <w:color w:val="1A4F8A"/>
          <w:sz w:val="26"/>
          <w:szCs w:val="26"/>
        </w:rPr>
        <w:t xml:space="preserve">3.3  Buyer Personas</w:t>
      </w:r>
    </w:p>
    <w:p>
      <w:pPr>
        <w:pStyle w:val="Heading3"/>
        <w:spacing w:after="80" w:before="200"/>
      </w:pPr>
      <w:r>
        <w:rPr>
          <w:rFonts w:ascii="Arial" w:cs="Arial" w:eastAsia="Arial" w:hAnsi="Arial"/>
          <w:b/>
          <w:bCs/>
          <w:color w:val="2A6BBF"/>
          <w:sz w:val="22"/>
          <w:szCs w:val="22"/>
        </w:rPr>
        <w:t xml:space="preserve">CISO</w:t>
      </w:r>
    </w:p>
    <w:p>
      <w:pPr>
        <w:pStyle w:val="ListParagraph"/>
        <w:numPr>
          <w:ilvl w:val="0"/>
          <w:numId w:val="3"/>
        </w:numPr>
        <w:spacing w:after="40" w:before="40"/>
      </w:pPr>
      <w:r>
        <w:rPr>
          <w:rFonts w:ascii="Arial" w:cs="Arial" w:eastAsia="Arial" w:hAnsi="Arial"/>
          <w:b w:val="false"/>
          <w:bCs w:val="false"/>
          <w:color w:val="1A1A2E"/>
          <w:sz w:val="22"/>
          <w:szCs w:val="22"/>
        </w:rPr>
        <w:t xml:space="preserve">Primary concern: data exfiltration via AI tools, regulatory audit readiness, incident evidence</w:t>
      </w:r>
    </w:p>
    <w:p>
      <w:pPr>
        <w:pStyle w:val="ListParagraph"/>
        <w:numPr>
          <w:ilvl w:val="0"/>
          <w:numId w:val="3"/>
        </w:numPr>
        <w:spacing w:after="40" w:before="40"/>
      </w:pPr>
      <w:r>
        <w:rPr>
          <w:rFonts w:ascii="Arial" w:cs="Arial" w:eastAsia="Arial" w:hAnsi="Arial"/>
          <w:b w:val="false"/>
          <w:bCs w:val="false"/>
          <w:color w:val="1A1A2E"/>
          <w:sz w:val="22"/>
          <w:szCs w:val="22"/>
        </w:rPr>
        <w:t xml:space="preserve">Entry point: Ethana Edge — immediate shadow AI inventory and prompt visibility</w:t>
      </w:r>
    </w:p>
    <w:p>
      <w:pPr>
        <w:pStyle w:val="ListParagraph"/>
        <w:numPr>
          <w:ilvl w:val="0"/>
          <w:numId w:val="3"/>
        </w:numPr>
        <w:spacing w:after="40" w:before="40"/>
      </w:pPr>
      <w:r>
        <w:rPr>
          <w:rFonts w:ascii="Arial" w:cs="Arial" w:eastAsia="Arial" w:hAnsi="Arial"/>
          <w:b w:val="false"/>
          <w:bCs w:val="false"/>
          <w:color w:val="1A1A2E"/>
          <w:sz w:val="22"/>
          <w:szCs w:val="22"/>
        </w:rPr>
        <w:t xml:space="preserve">Key metric: time to produce a full AI usage register for a regulatory inspection</w:t>
      </w:r>
    </w:p>
    <w:p>
      <w:pPr>
        <w:spacing w:after="0" w:before="80"/>
      </w:pPr>
      <w:r>
        <w:t xml:space="preserve"/>
      </w:r>
    </w:p>
    <w:p>
      <w:pPr>
        <w:pStyle w:val="Heading3"/>
        <w:spacing w:after="80" w:before="200"/>
      </w:pPr>
      <w:r>
        <w:rPr>
          <w:rFonts w:ascii="Arial" w:cs="Arial" w:eastAsia="Arial" w:hAnsi="Arial"/>
          <w:b/>
          <w:bCs/>
          <w:color w:val="2A6BBF"/>
          <w:sz w:val="22"/>
          <w:szCs w:val="22"/>
        </w:rPr>
        <w:t xml:space="preserve">CIO / CTO</w:t>
      </w:r>
    </w:p>
    <w:p>
      <w:pPr>
        <w:pStyle w:val="ListParagraph"/>
        <w:numPr>
          <w:ilvl w:val="0"/>
          <w:numId w:val="3"/>
        </w:numPr>
        <w:spacing w:after="40" w:before="40"/>
      </w:pPr>
      <w:r>
        <w:rPr>
          <w:rFonts w:ascii="Arial" w:cs="Arial" w:eastAsia="Arial" w:hAnsi="Arial"/>
          <w:b w:val="false"/>
          <w:bCs w:val="false"/>
          <w:color w:val="1A1A2E"/>
          <w:sz w:val="22"/>
          <w:szCs w:val="22"/>
        </w:rPr>
        <w:t xml:space="preserve">Primary concern: ungoverned AI sprawl, developer productivity vs. security, AI cost control</w:t>
      </w:r>
    </w:p>
    <w:p>
      <w:pPr>
        <w:pStyle w:val="ListParagraph"/>
        <w:numPr>
          <w:ilvl w:val="0"/>
          <w:numId w:val="3"/>
        </w:numPr>
        <w:spacing w:after="40" w:before="40"/>
      </w:pPr>
      <w:r>
        <w:rPr>
          <w:rFonts w:ascii="Arial" w:cs="Arial" w:eastAsia="Arial" w:hAnsi="Arial"/>
          <w:b w:val="false"/>
          <w:bCs w:val="false"/>
          <w:color w:val="1A1A2E"/>
          <w:sz w:val="22"/>
          <w:szCs w:val="22"/>
        </w:rPr>
        <w:t xml:space="preserve">Entry point: Ethana Build or full bundle</w:t>
      </w:r>
    </w:p>
    <w:p>
      <w:pPr>
        <w:pStyle w:val="ListParagraph"/>
        <w:numPr>
          <w:ilvl w:val="0"/>
          <w:numId w:val="3"/>
        </w:numPr>
        <w:spacing w:after="40" w:before="40"/>
      </w:pPr>
      <w:r>
        <w:rPr>
          <w:rFonts w:ascii="Arial" w:cs="Arial" w:eastAsia="Arial" w:hAnsi="Arial"/>
          <w:b w:val="false"/>
          <w:bCs w:val="false"/>
          <w:color w:val="1A1A2E"/>
          <w:sz w:val="22"/>
          <w:szCs w:val="22"/>
        </w:rPr>
        <w:t xml:space="preserve">Key metric: centralized control over model access, token spend, and agent deployment</w:t>
      </w:r>
    </w:p>
    <w:p>
      <w:pPr>
        <w:spacing w:after="0" w:before="80"/>
      </w:pPr>
      <w:r>
        <w:t xml:space="preserve"/>
      </w:r>
    </w:p>
    <w:p>
      <w:pPr>
        <w:pStyle w:val="Heading3"/>
        <w:spacing w:after="80" w:before="200"/>
      </w:pPr>
      <w:r>
        <w:rPr>
          <w:rFonts w:ascii="Arial" w:cs="Arial" w:eastAsia="Arial" w:hAnsi="Arial"/>
          <w:b/>
          <w:bCs/>
          <w:color w:val="2A6BBF"/>
          <w:sz w:val="22"/>
          <w:szCs w:val="22"/>
        </w:rPr>
        <w:t xml:space="preserve">Engineering / Platform Lead</w:t>
      </w:r>
    </w:p>
    <w:p>
      <w:pPr>
        <w:pStyle w:val="ListParagraph"/>
        <w:numPr>
          <w:ilvl w:val="0"/>
          <w:numId w:val="3"/>
        </w:numPr>
        <w:spacing w:after="40" w:before="40"/>
      </w:pPr>
      <w:r>
        <w:rPr>
          <w:rFonts w:ascii="Arial" w:cs="Arial" w:eastAsia="Arial" w:hAnsi="Arial"/>
          <w:b w:val="false"/>
          <w:bCs w:val="false"/>
          <w:color w:val="1A1A2E"/>
          <w:sz w:val="22"/>
          <w:szCs w:val="22"/>
        </w:rPr>
        <w:t xml:space="preserve">Primary concern: building AI applications with production-grade infrastructure</w:t>
      </w:r>
    </w:p>
    <w:p>
      <w:pPr>
        <w:pStyle w:val="ListParagraph"/>
        <w:numPr>
          <w:ilvl w:val="0"/>
          <w:numId w:val="3"/>
        </w:numPr>
        <w:spacing w:after="40" w:before="40"/>
      </w:pPr>
      <w:r>
        <w:rPr>
          <w:rFonts w:ascii="Arial" w:cs="Arial" w:eastAsia="Arial" w:hAnsi="Arial"/>
          <w:b w:val="false"/>
          <w:bCs w:val="false"/>
          <w:color w:val="1A1A2E"/>
          <w:sz w:val="22"/>
          <w:szCs w:val="22"/>
        </w:rPr>
        <w:t xml:space="preserve">Entry point: Ethana Build</w:t>
      </w:r>
    </w:p>
    <w:p>
      <w:pPr>
        <w:pStyle w:val="ListParagraph"/>
        <w:numPr>
          <w:ilvl w:val="0"/>
          <w:numId w:val="3"/>
        </w:numPr>
        <w:spacing w:after="40" w:before="40"/>
      </w:pPr>
      <w:r>
        <w:rPr>
          <w:rFonts w:ascii="Arial" w:cs="Arial" w:eastAsia="Arial" w:hAnsi="Arial"/>
          <w:b w:val="false"/>
          <w:bCs w:val="false"/>
          <w:color w:val="1A1A2E"/>
          <w:sz w:val="22"/>
          <w:szCs w:val="22"/>
        </w:rPr>
        <w:t xml:space="preserve">Key metric: time to deploy governed AI applications; evaluation and PromptOps maturity</w:t>
      </w:r>
    </w:p>
    <w:p>
      <w:pPr>
        <w:spacing w:after="0" w:before="80"/>
      </w:pPr>
      <w:r>
        <w:t xml:space="preserve"/>
      </w:r>
    </w:p>
    <w:p>
      <w:pPr>
        <w:pStyle w:val="Heading3"/>
        <w:spacing w:after="80" w:before="200"/>
      </w:pPr>
      <w:r>
        <w:rPr>
          <w:rFonts w:ascii="Arial" w:cs="Arial" w:eastAsia="Arial" w:hAnsi="Arial"/>
          <w:b/>
          <w:bCs/>
          <w:color w:val="2A6BBF"/>
          <w:sz w:val="22"/>
          <w:szCs w:val="22"/>
        </w:rPr>
        <w:t xml:space="preserve">Head of Compliance / DPO</w:t>
      </w:r>
    </w:p>
    <w:p>
      <w:pPr>
        <w:pStyle w:val="ListParagraph"/>
        <w:numPr>
          <w:ilvl w:val="0"/>
          <w:numId w:val="3"/>
        </w:numPr>
        <w:spacing w:after="40" w:before="40"/>
      </w:pPr>
      <w:r>
        <w:rPr>
          <w:rFonts w:ascii="Arial" w:cs="Arial" w:eastAsia="Arial" w:hAnsi="Arial"/>
          <w:b w:val="false"/>
          <w:bCs w:val="false"/>
          <w:color w:val="1A1A2E"/>
          <w:sz w:val="22"/>
          <w:szCs w:val="22"/>
        </w:rPr>
        <w:t xml:space="preserve">Primary concern: DPDP, GDPR, RBI, IRDAI, SEBI alignment; evidence of AI controls</w:t>
      </w:r>
    </w:p>
    <w:p>
      <w:pPr>
        <w:pStyle w:val="ListParagraph"/>
        <w:numPr>
          <w:ilvl w:val="0"/>
          <w:numId w:val="3"/>
        </w:numPr>
        <w:spacing w:after="40" w:before="40"/>
      </w:pPr>
      <w:r>
        <w:rPr>
          <w:rFonts w:ascii="Arial" w:cs="Arial" w:eastAsia="Arial" w:hAnsi="Arial"/>
          <w:b w:val="false"/>
          <w:bCs w:val="false"/>
          <w:color w:val="1A1A2E"/>
          <w:sz w:val="22"/>
          <w:szCs w:val="22"/>
        </w:rPr>
        <w:t xml:space="preserve">Entry point: Edge governance reports and Workspace audit logs</w:t>
      </w:r>
    </w:p>
    <w:p>
      <w:pPr>
        <w:pStyle w:val="ListParagraph"/>
        <w:numPr>
          <w:ilvl w:val="0"/>
          <w:numId w:val="3"/>
        </w:numPr>
        <w:spacing w:after="40" w:before="40"/>
      </w:pPr>
      <w:r>
        <w:rPr>
          <w:rFonts w:ascii="Arial" w:cs="Arial" w:eastAsia="Arial" w:hAnsi="Arial"/>
          <w:b w:val="false"/>
          <w:bCs w:val="false"/>
          <w:color w:val="1A1A2E"/>
          <w:sz w:val="22"/>
          <w:szCs w:val="22"/>
        </w:rPr>
        <w:t xml:space="preserve">Key metric: availability of audit-ready AI usage evidence on demand</w:t>
      </w:r>
    </w:p>
    <w:p>
      <w:pPr>
        <w:pBdr>
          <w:bottom w:val="single" w:color="C8D8EE" w:sz="4" w:space="1"/>
        </w:pBdr>
        <w:spacing w:after="160" w:before="160"/>
      </w:pPr>
      <w:r>
        <w:t xml:space="preserve"/>
      </w:r>
    </w:p>
    <w:p>
      <w:r>
        <w:br w:type="page"/>
      </w:r>
    </w:p>
    <w:p>
      <w:pPr>
        <w:pStyle w:val="Heading1"/>
        <w:pBdr>
          <w:bottom w:val="single" w:color="1E8FD5" w:sz="8" w:space="6"/>
        </w:pBdr>
        <w:spacing w:after="160" w:before="360"/>
      </w:pPr>
      <w:r>
        <w:rPr>
          <w:rFonts w:ascii="Arial" w:cs="Arial" w:eastAsia="Arial" w:hAnsi="Arial"/>
          <w:b/>
          <w:bCs/>
          <w:color w:val="0F2B4C"/>
          <w:sz w:val="36"/>
          <w:szCs w:val="36"/>
        </w:rPr>
        <w:t xml:space="preserve">4. Core Messaging by Product</w:t>
      </w:r>
    </w:p>
    <w:p>
      <w:pPr>
        <w:pStyle w:val="Heading2"/>
        <w:spacing w:after="120" w:before="280"/>
      </w:pPr>
      <w:r>
        <w:rPr>
          <w:rFonts w:ascii="Arial" w:cs="Arial" w:eastAsia="Arial" w:hAnsi="Arial"/>
          <w:b/>
          <w:bCs/>
          <w:color w:val="1A4F8A"/>
          <w:sz w:val="26"/>
          <w:szCs w:val="26"/>
        </w:rPr>
        <w:t xml:space="preserve">4.1  Ethana Edge — Endpoint AI Monitoring &amp; Governance</w:t>
      </w:r>
    </w:p>
    <w:p>
      <w:pPr>
        <w:spacing w:after="120" w:before="80"/>
      </w:pPr>
      <w:r>
        <w:rPr>
          <w:rFonts w:ascii="Arial" w:cs="Arial" w:eastAsia="Arial" w:hAnsi="Arial"/>
          <w:b/>
          <w:bCs/>
          <w:color w:val="1B6CA8"/>
          <w:sz w:val="22"/>
          <w:szCs w:val="22"/>
        </w:rPr>
        <w:t xml:space="preserve">Primary message: </w:t>
      </w:r>
      <w:r>
        <w:rPr>
          <w:rFonts w:ascii="Arial" w:cs="Arial" w:eastAsia="Arial" w:hAnsi="Arial"/>
          <w:color w:val="1A1A2E"/>
          <w:sz w:val="22"/>
          <w:szCs w:val="22"/>
        </w:rPr>
        <w:t xml:space="preserve">Know exactly what AI your employees are using, what they are sharing, and be able to prove it.</w:t>
      </w:r>
    </w:p>
    <w:p>
      <w:pPr>
        <w:spacing w:after="0" w:before="80"/>
      </w:pPr>
      <w:r>
        <w:t xml:space="preserve"/>
      </w:r>
    </w:p>
    <w:p>
      <w:pPr>
        <w:spacing w:after="120" w:before="80"/>
      </w:pPr>
      <w:r>
        <w:rPr>
          <w:rFonts w:ascii="Arial" w:cs="Arial" w:eastAsia="Arial" w:hAnsi="Arial"/>
          <w:b/>
          <w:bCs/>
          <w:color w:val="4A4A6A"/>
          <w:sz w:val="22"/>
          <w:szCs w:val="22"/>
        </w:rPr>
        <w:t xml:space="preserve">Current capability (GA): </w:t>
      </w:r>
      <w:r>
        <w:rPr>
          <w:rFonts w:ascii="Arial" w:cs="Arial" w:eastAsia="Arial" w:hAnsi="Arial"/>
          <w:color w:val="1A1A2E"/>
          <w:sz w:val="22"/>
          <w:szCs w:val="22"/>
        </w:rPr>
        <w:t xml:space="preserve">Observability. Edge currently delivers full AI visibility and audit capabilities. Security enforcement and blocking are in development.</w:t>
      </w:r>
    </w:p>
    <w:p>
      <w:pPr>
        <w:spacing w:after="0" w:before="80"/>
      </w:pPr>
      <w:r>
        <w:t xml:space="preserve"/>
      </w:r>
    </w:p>
    <w:p>
      <w:pPr>
        <w:spacing w:after="120" w:before="80"/>
      </w:pPr>
      <w:r>
        <w:rPr>
          <w:rFonts w:ascii="Arial" w:cs="Arial" w:eastAsia="Arial" w:hAnsi="Arial"/>
          <w:color w:val="1A1A2E"/>
          <w:sz w:val="22"/>
          <w:szCs w:val="22"/>
        </w:rPr>
        <w:t xml:space="preserve">Observability proof points (available today):</w:t>
      </w:r>
    </w:p>
    <w:p>
      <w:pPr>
        <w:pStyle w:val="ListParagraph"/>
        <w:numPr>
          <w:ilvl w:val="0"/>
          <w:numId w:val="3"/>
        </w:numPr>
        <w:spacing w:after="40" w:before="40"/>
      </w:pPr>
      <w:r>
        <w:rPr>
          <w:rFonts w:ascii="Arial" w:cs="Arial" w:eastAsia="Arial" w:hAnsi="Arial"/>
          <w:b w:val="false"/>
          <w:bCs w:val="false"/>
          <w:color w:val="1A1A2E"/>
          <w:sz w:val="22"/>
          <w:szCs w:val="22"/>
        </w:rPr>
        <w:t xml:space="preserve">Continuous device-level discovery of every AI tool, browser extension, developer assistant, and local model — including unsanctioned tools.</w:t>
      </w:r>
    </w:p>
    <w:p>
      <w:pPr>
        <w:pStyle w:val="ListParagraph"/>
        <w:numPr>
          <w:ilvl w:val="0"/>
          <w:numId w:val="3"/>
        </w:numPr>
        <w:spacing w:after="40" w:before="40"/>
      </w:pPr>
      <w:r>
        <w:rPr>
          <w:rFonts w:ascii="Arial" w:cs="Arial" w:eastAsia="Arial" w:hAnsi="Arial"/>
          <w:b w:val="false"/>
          <w:bCs w:val="false"/>
          <w:color w:val="1A1A2E"/>
          <w:sz w:val="22"/>
          <w:szCs w:val="22"/>
        </w:rPr>
        <w:t xml:space="preserve">Browser-level prompt and response monitoring across ChatGPT, Claude, Gemini, and all major consumer AI platforms.</w:t>
      </w:r>
    </w:p>
    <w:p>
      <w:pPr>
        <w:pStyle w:val="ListParagraph"/>
        <w:numPr>
          <w:ilvl w:val="0"/>
          <w:numId w:val="3"/>
        </w:numPr>
        <w:spacing w:after="40" w:before="40"/>
      </w:pPr>
      <w:r>
        <w:rPr>
          <w:rFonts w:ascii="Arial" w:cs="Arial" w:eastAsia="Arial" w:hAnsi="Arial"/>
          <w:b w:val="false"/>
          <w:bCs w:val="false"/>
          <w:color w:val="1A1A2E"/>
          <w:sz w:val="22"/>
          <w:szCs w:val="22"/>
        </w:rPr>
        <w:t xml:space="preserve">Developer AI monitoring covering Cursor, GitHub Copilot, Claude Code, Windsurf, Cline, Aider, and VS Code AI extensions.</w:t>
      </w:r>
    </w:p>
    <w:p>
      <w:pPr>
        <w:pStyle w:val="ListParagraph"/>
        <w:numPr>
          <w:ilvl w:val="0"/>
          <w:numId w:val="3"/>
        </w:numPr>
        <w:spacing w:after="40" w:before="40"/>
      </w:pPr>
      <w:r>
        <w:rPr>
          <w:rFonts w:ascii="Arial" w:cs="Arial" w:eastAsia="Arial" w:hAnsi="Arial"/>
          <w:b w:val="false"/>
          <w:bCs w:val="false"/>
          <w:color w:val="1A1A2E"/>
          <w:sz w:val="22"/>
          <w:szCs w:val="22"/>
        </w:rPr>
        <w:t xml:space="preserve">Per-user attribution and session-level activity tracking.</w:t>
      </w:r>
    </w:p>
    <w:p>
      <w:pPr>
        <w:pStyle w:val="ListParagraph"/>
        <w:numPr>
          <w:ilvl w:val="0"/>
          <w:numId w:val="3"/>
        </w:numPr>
        <w:spacing w:after="40" w:before="40"/>
      </w:pPr>
      <w:r>
        <w:rPr>
          <w:rFonts w:ascii="Arial" w:cs="Arial" w:eastAsia="Arial" w:hAnsi="Arial"/>
          <w:b w:val="false"/>
          <w:bCs w:val="false"/>
          <w:color w:val="1A1A2E"/>
          <w:sz w:val="22"/>
          <w:szCs w:val="22"/>
        </w:rPr>
        <w:t xml:space="preserve">Device-level AI asset inventory including MCP servers running on endpoints.</w:t>
      </w:r>
    </w:p>
    <w:p>
      <w:pPr>
        <w:pStyle w:val="ListParagraph"/>
        <w:numPr>
          <w:ilvl w:val="0"/>
          <w:numId w:val="3"/>
        </w:numPr>
        <w:spacing w:after="40" w:before="40"/>
      </w:pPr>
      <w:r>
        <w:rPr>
          <w:rFonts w:ascii="Arial" w:cs="Arial" w:eastAsia="Arial" w:hAnsi="Arial"/>
          <w:b w:val="false"/>
          <w:bCs w:val="false"/>
          <w:color w:val="1A1A2E"/>
          <w:sz w:val="22"/>
          <w:szCs w:val="22"/>
        </w:rPr>
        <w:t xml:space="preserve">Immutable audit logs and compliance reports suitable for regulatory inspection.</w:t>
      </w:r>
    </w:p>
    <w:p>
      <w:pPr>
        <w:pStyle w:val="ListParagraph"/>
        <w:numPr>
          <w:ilvl w:val="0"/>
          <w:numId w:val="3"/>
        </w:numPr>
        <w:spacing w:after="40" w:before="40"/>
      </w:pPr>
      <w:r>
        <w:rPr>
          <w:rFonts w:ascii="Arial" w:cs="Arial" w:eastAsia="Arial" w:hAnsi="Arial"/>
          <w:b w:val="false"/>
          <w:bCs w:val="false"/>
          <w:color w:val="1A1A2E"/>
          <w:sz w:val="22"/>
          <w:szCs w:val="22"/>
        </w:rPr>
        <w:t xml:space="preserve">Deploys via endpoint agent and browser extension. No organizational change required to start.</w:t>
      </w:r>
    </w:p>
    <w:p>
      <w:pPr>
        <w:spacing w:after="0" w:before="80"/>
      </w:pPr>
      <w:r>
        <w:t xml:space="preserve"/>
      </w:r>
    </w:p>
    <w:p>
      <w:pPr>
        <w:spacing w:after="120" w:before="80"/>
      </w:pPr>
      <w:r>
        <w:rPr>
          <w:rFonts w:ascii="Arial" w:cs="Arial" w:eastAsia="Arial" w:hAnsi="Arial"/>
          <w:color w:val="1A1A2E"/>
          <w:sz w:val="22"/>
          <w:szCs w:val="22"/>
        </w:rPr>
        <w:t xml:space="preserve">On the roadmap (do not position as current):</w:t>
      </w:r>
    </w:p>
    <w:p>
      <w:pPr>
        <w:pStyle w:val="ListParagraph"/>
        <w:numPr>
          <w:ilvl w:val="0"/>
          <w:numId w:val="3"/>
        </w:numPr>
        <w:spacing w:after="40" w:before="40"/>
      </w:pPr>
      <w:r>
        <w:rPr>
          <w:rFonts w:ascii="Arial" w:cs="Arial" w:eastAsia="Arial" w:hAnsi="Arial"/>
          <w:b w:val="false"/>
          <w:bCs w:val="false"/>
          <w:color w:val="1A1A2E"/>
          <w:sz w:val="22"/>
          <w:szCs w:val="22"/>
        </w:rPr>
        <w:t xml:space="preserve">PII masking and sensitive data redaction before prompts leave the browser.</w:t>
      </w:r>
    </w:p>
    <w:p>
      <w:pPr>
        <w:pStyle w:val="ListParagraph"/>
        <w:numPr>
          <w:ilvl w:val="0"/>
          <w:numId w:val="3"/>
        </w:numPr>
        <w:spacing w:after="40" w:before="40"/>
      </w:pPr>
      <w:r>
        <w:rPr>
          <w:rFonts w:ascii="Arial" w:cs="Arial" w:eastAsia="Arial" w:hAnsi="Arial"/>
          <w:b w:val="false"/>
          <w:bCs w:val="false"/>
          <w:color w:val="1A1A2E"/>
          <w:sz w:val="22"/>
          <w:szCs w:val="22"/>
        </w:rPr>
        <w:t xml:space="preserve">Source code masking for developer AI tools.</w:t>
      </w:r>
    </w:p>
    <w:p>
      <w:pPr>
        <w:pStyle w:val="ListParagraph"/>
        <w:numPr>
          <w:ilvl w:val="0"/>
          <w:numId w:val="3"/>
        </w:numPr>
        <w:spacing w:after="40" w:before="40"/>
      </w:pPr>
      <w:r>
        <w:rPr>
          <w:rFonts w:ascii="Arial" w:cs="Arial" w:eastAsia="Arial" w:hAnsi="Arial"/>
          <w:b w:val="false"/>
          <w:bCs w:val="false"/>
          <w:color w:val="1A1A2E"/>
          <w:sz w:val="22"/>
          <w:szCs w:val="22"/>
        </w:rPr>
        <w:t xml:space="preserve">AI website allowlists and blocklists; browser-level policy enforcement.</w:t>
      </w:r>
    </w:p>
    <w:p>
      <w:pPr>
        <w:pStyle w:val="ListParagraph"/>
        <w:numPr>
          <w:ilvl w:val="0"/>
          <w:numId w:val="3"/>
        </w:numPr>
        <w:spacing w:after="40" w:before="40"/>
      </w:pPr>
      <w:r>
        <w:rPr>
          <w:rFonts w:ascii="Arial" w:cs="Arial" w:eastAsia="Arial" w:hAnsi="Arial"/>
          <w:b w:val="false"/>
          <w:bCs w:val="false"/>
          <w:color w:val="1A1A2E"/>
          <w:sz w:val="22"/>
          <w:szCs w:val="22"/>
        </w:rPr>
        <w:t xml:space="preserve">Secret detection and masking.</w:t>
      </w:r>
    </w:p>
    <w:p>
      <w:pPr>
        <w:spacing w:after="0" w:before="80"/>
      </w:pPr>
      <w:r>
        <w:t xml:space="preserve"/>
      </w:r>
    </w:p>
    <w:p>
      <w:pPr>
        <w:spacing w:after="120" w:before="80"/>
      </w:pPr>
      <w:r>
        <w:rPr>
          <w:rFonts w:ascii="Arial" w:cs="Arial" w:eastAsia="Arial" w:hAnsi="Arial"/>
          <w:b/>
          <w:bCs/>
          <w:color w:val="4A4A6A"/>
          <w:sz w:val="22"/>
          <w:szCs w:val="22"/>
        </w:rPr>
        <w:t xml:space="preserve">Relevant regulatory alignment: </w:t>
      </w:r>
      <w:r>
        <w:rPr>
          <w:rFonts w:ascii="Arial" w:cs="Arial" w:eastAsia="Arial" w:hAnsi="Arial"/>
          <w:color w:val="1A1A2E"/>
          <w:sz w:val="22"/>
          <w:szCs w:val="22"/>
        </w:rPr>
        <w:t xml:space="preserve">The observability and audit log capabilities today directly support RBI, IRDAI, SEBI, DPDP, and GDPR audit readiness requirements.</w:t>
      </w:r>
    </w:p>
    <w:p>
      <w:pPr>
        <w:pBdr>
          <w:bottom w:val="single" w:color="C8D8EE" w:sz="4" w:space="1"/>
        </w:pBdr>
        <w:spacing w:after="160" w:before="160"/>
      </w:pPr>
      <w:r>
        <w:t xml:space="preserve"/>
      </w:r>
    </w:p>
    <w:p>
      <w:pPr>
        <w:pStyle w:val="Heading2"/>
        <w:spacing w:after="120" w:before="280"/>
      </w:pPr>
      <w:r>
        <w:rPr>
          <w:rFonts w:ascii="Arial" w:cs="Arial" w:eastAsia="Arial" w:hAnsi="Arial"/>
          <w:b/>
          <w:bCs/>
          <w:color w:val="1A4F8A"/>
          <w:sz w:val="26"/>
          <w:szCs w:val="26"/>
        </w:rPr>
        <w:t xml:space="preserve">4.2  Ethana Workspace — Governed AI Workspaces &amp; Knowledge Assistants</w:t>
      </w:r>
    </w:p>
    <w:p>
      <w:pPr>
        <w:spacing w:after="120" w:before="80"/>
      </w:pPr>
      <w:r>
        <w:rPr>
          <w:rFonts w:ascii="Arial" w:cs="Arial" w:eastAsia="Arial" w:hAnsi="Arial"/>
          <w:b/>
          <w:bCs/>
          <w:color w:val="1D7A6A"/>
          <w:sz w:val="22"/>
          <w:szCs w:val="22"/>
        </w:rPr>
        <w:t xml:space="preserve">Primary message: </w:t>
      </w:r>
      <w:r>
        <w:rPr>
          <w:rFonts w:ascii="Arial" w:cs="Arial" w:eastAsia="Arial" w:hAnsi="Arial"/>
          <w:color w:val="1A1A2E"/>
          <w:sz w:val="22"/>
          <w:szCs w:val="22"/>
        </w:rPr>
        <w:t xml:space="preserve">Give employees a governed place to do AI-assisted work on sensitive internal knowledge — without it ever leaving your network.</w:t>
      </w:r>
    </w:p>
    <w:p>
      <w:pPr>
        <w:spacing w:after="0" w:before="80"/>
      </w:pPr>
      <w:r>
        <w:t xml:space="preserve"/>
      </w:r>
    </w:p>
    <w:p>
      <w:pPr>
        <w:spacing w:after="120" w:before="80"/>
      </w:pPr>
      <w:r>
        <w:rPr>
          <w:rFonts w:ascii="Arial" w:cs="Arial" w:eastAsia="Arial" w:hAnsi="Arial"/>
          <w:color w:val="1A1A2E"/>
          <w:sz w:val="22"/>
          <w:szCs w:val="22"/>
        </w:rPr>
        <w:t xml:space="preserve">Supporting proof points:</w:t>
      </w:r>
    </w:p>
    <w:p>
      <w:pPr>
        <w:pStyle w:val="ListParagraph"/>
        <w:numPr>
          <w:ilvl w:val="0"/>
          <w:numId w:val="3"/>
        </w:numPr>
        <w:spacing w:after="40" w:before="40"/>
      </w:pPr>
      <w:r>
        <w:rPr>
          <w:rFonts w:ascii="Arial" w:cs="Arial" w:eastAsia="Arial" w:hAnsi="Arial"/>
          <w:b w:val="false"/>
          <w:bCs w:val="false"/>
          <w:color w:val="1A1A2E"/>
          <w:sz w:val="22"/>
          <w:szCs w:val="22"/>
        </w:rPr>
        <w:t xml:space="preserve">Self-hosted enterprise AI chat with multi-user collaboration, shared workspaces, and department-level knowledge assistants.</w:t>
      </w:r>
    </w:p>
    <w:p>
      <w:pPr>
        <w:pStyle w:val="ListParagraph"/>
        <w:numPr>
          <w:ilvl w:val="0"/>
          <w:numId w:val="3"/>
        </w:numPr>
        <w:spacing w:after="40" w:before="40"/>
      </w:pPr>
      <w:r>
        <w:rPr>
          <w:rFonts w:ascii="Arial" w:cs="Arial" w:eastAsia="Arial" w:hAnsi="Arial"/>
          <w:b w:val="false"/>
          <w:bCs w:val="false"/>
          <w:color w:val="1A1A2E"/>
          <w:sz w:val="22"/>
          <w:szCs w:val="22"/>
        </w:rPr>
        <w:t xml:space="preserve">RAG on internal sources: PDFs, SharePoint, Confluence, Notion, Google Drive, internal databases, and custom repositories.</w:t>
      </w:r>
    </w:p>
    <w:p>
      <w:pPr>
        <w:pStyle w:val="ListParagraph"/>
        <w:numPr>
          <w:ilvl w:val="0"/>
          <w:numId w:val="3"/>
        </w:numPr>
        <w:spacing w:after="40" w:before="40"/>
      </w:pPr>
      <w:r>
        <w:rPr>
          <w:rFonts w:ascii="Arial" w:cs="Arial" w:eastAsia="Arial" w:hAnsi="Arial"/>
          <w:b w:val="false"/>
          <w:bCs w:val="false"/>
          <w:color w:val="1A1A2E"/>
          <w:sz w:val="22"/>
          <w:szCs w:val="22"/>
        </w:rPr>
        <w:t xml:space="preserve">Document drafting, summarization, knowledge extraction, report generation, and review workflows — all within the governed boundary.</w:t>
      </w:r>
    </w:p>
    <w:p>
      <w:pPr>
        <w:pStyle w:val="ListParagraph"/>
        <w:numPr>
          <w:ilvl w:val="0"/>
          <w:numId w:val="3"/>
        </w:numPr>
        <w:spacing w:after="40" w:before="40"/>
      </w:pPr>
      <w:r>
        <w:rPr>
          <w:rFonts w:ascii="Arial" w:cs="Arial" w:eastAsia="Arial" w:hAnsi="Arial"/>
          <w:b w:val="false"/>
          <w:bCs w:val="false"/>
          <w:color w:val="1A1A2E"/>
          <w:sz w:val="22"/>
          <w:szCs w:val="22"/>
        </w:rPr>
        <w:t xml:space="preserve">Role-based access control on knowledge sources. PII auto-masked in storage, unmasked only for authorized roles.</w:t>
      </w:r>
    </w:p>
    <w:p>
      <w:pPr>
        <w:pStyle w:val="ListParagraph"/>
        <w:numPr>
          <w:ilvl w:val="0"/>
          <w:numId w:val="3"/>
        </w:numPr>
        <w:spacing w:after="40" w:before="40"/>
      </w:pPr>
      <w:r>
        <w:rPr>
          <w:rFonts w:ascii="Arial" w:cs="Arial" w:eastAsia="Arial" w:hAnsi="Arial"/>
          <w:b w:val="false"/>
          <w:bCs w:val="false"/>
          <w:color w:val="1A1A2E"/>
          <w:sz w:val="22"/>
          <w:szCs w:val="22"/>
        </w:rPr>
        <w:t xml:space="preserve">Every prompt, response, and document export captured in an immutable audit log.</w:t>
      </w:r>
    </w:p>
    <w:p>
      <w:pPr>
        <w:pStyle w:val="ListParagraph"/>
        <w:numPr>
          <w:ilvl w:val="0"/>
          <w:numId w:val="3"/>
        </w:numPr>
        <w:spacing w:after="40" w:before="40"/>
      </w:pPr>
      <w:r>
        <w:rPr>
          <w:rFonts w:ascii="Arial" w:cs="Arial" w:eastAsia="Arial" w:hAnsi="Arial"/>
          <w:b w:val="false"/>
          <w:bCs w:val="false"/>
          <w:color w:val="1A1A2E"/>
          <w:sz w:val="22"/>
          <w:szCs w:val="22"/>
        </w:rPr>
        <w:t xml:space="preserve">Custom chat widgets for department-specific copilots and customer- or employee-facing assistants.</w:t>
      </w:r>
    </w:p>
    <w:p>
      <w:pPr>
        <w:spacing w:after="0" w:before="80"/>
      </w:pPr>
      <w:r>
        <w:t xml:space="preserve"/>
      </w:r>
    </w:p>
    <w:p>
      <w:pPr>
        <w:spacing w:after="120" w:before="80"/>
      </w:pPr>
      <w:r>
        <w:rPr>
          <w:rFonts w:ascii="Arial" w:cs="Arial" w:eastAsia="Arial" w:hAnsi="Arial"/>
          <w:b/>
          <w:bCs/>
          <w:color w:val="4A4A6A"/>
          <w:sz w:val="22"/>
          <w:szCs w:val="22"/>
        </w:rPr>
        <w:t xml:space="preserve">Differentiation from consumer AI chat: </w:t>
      </w:r>
      <w:r>
        <w:rPr>
          <w:rFonts w:ascii="Arial" w:cs="Arial" w:eastAsia="Arial" w:hAnsi="Arial"/>
          <w:color w:val="1A1A2E"/>
          <w:sz w:val="22"/>
          <w:szCs w:val="22"/>
        </w:rPr>
        <w:t xml:space="preserve">Workspace is not a wrapper around a public API. It is a self-hosted platform where customer data, prompts, and responses do not leave the organization's infrastructure.</w:t>
      </w:r>
    </w:p>
    <w:p>
      <w:pPr>
        <w:pBdr>
          <w:bottom w:val="single" w:color="C8D8EE" w:sz="4" w:space="1"/>
        </w:pBdr>
        <w:spacing w:after="160" w:before="160"/>
      </w:pPr>
      <w:r>
        <w:t xml:space="preserve"/>
      </w:r>
    </w:p>
    <w:p>
      <w:pPr>
        <w:pStyle w:val="Heading2"/>
        <w:spacing w:after="120" w:before="280"/>
      </w:pPr>
      <w:r>
        <w:rPr>
          <w:rFonts w:ascii="Arial" w:cs="Arial" w:eastAsia="Arial" w:hAnsi="Arial"/>
          <w:b/>
          <w:bCs/>
          <w:color w:val="1A4F8A"/>
          <w:sz w:val="26"/>
          <w:szCs w:val="26"/>
        </w:rPr>
        <w:t xml:space="preserve">4.3  Ethana Build — Enterprise AI Infrastructure &amp; Control Plane</w:t>
      </w:r>
    </w:p>
    <w:p>
      <w:pPr>
        <w:spacing w:after="120" w:before="80"/>
      </w:pPr>
      <w:r>
        <w:rPr>
          <w:rFonts w:ascii="Arial" w:cs="Arial" w:eastAsia="Arial" w:hAnsi="Arial"/>
          <w:b/>
          <w:bCs/>
          <w:color w:val="7B3FA0"/>
          <w:sz w:val="22"/>
          <w:szCs w:val="22"/>
        </w:rPr>
        <w:t xml:space="preserve">Primary message: </w:t>
      </w:r>
      <w:r>
        <w:rPr>
          <w:rFonts w:ascii="Arial" w:cs="Arial" w:eastAsia="Arial" w:hAnsi="Arial"/>
          <w:color w:val="1A1A2E"/>
          <w:sz w:val="22"/>
          <w:szCs w:val="22"/>
        </w:rPr>
        <w:t xml:space="preserve">The infrastructure layer for teams building AI applications and agents — with governance, evaluation, and operational control built in from day one.</w:t>
      </w:r>
    </w:p>
    <w:p>
      <w:pPr>
        <w:spacing w:after="0" w:before="80"/>
      </w:pPr>
      <w:r>
        <w:t xml:space="preserve"/>
      </w:r>
    </w:p>
    <w:p>
      <w:pPr>
        <w:spacing w:after="120" w:before="80"/>
      </w:pPr>
      <w:r>
        <w:rPr>
          <w:rFonts w:ascii="Arial" w:cs="Arial" w:eastAsia="Arial" w:hAnsi="Arial"/>
          <w:color w:val="1A1A2E"/>
          <w:sz w:val="22"/>
          <w:szCs w:val="22"/>
        </w:rPr>
        <w:t xml:space="preserve">Supporting proof points:</w:t>
      </w:r>
    </w:p>
    <w:p>
      <w:pPr>
        <w:pStyle w:val="ListParagraph"/>
        <w:numPr>
          <w:ilvl w:val="0"/>
          <w:numId w:val="3"/>
        </w:numPr>
        <w:spacing w:after="40" w:before="40"/>
      </w:pPr>
      <w:r>
        <w:rPr>
          <w:rFonts w:ascii="Arial" w:cs="Arial" w:eastAsia="Arial" w:hAnsi="Arial"/>
          <w:b w:val="false"/>
          <w:bCs w:val="false"/>
          <w:color w:val="1A1A2E"/>
          <w:sz w:val="22"/>
          <w:szCs w:val="22"/>
        </w:rPr>
        <w:t xml:space="preserve">OpenAI-compatible gateway for multi-model access: OpenAI, Anthropic, Gemini, Groq, Cerebras, and self-hosted open-weight models.</w:t>
      </w:r>
    </w:p>
    <w:p>
      <w:pPr>
        <w:pStyle w:val="ListParagraph"/>
        <w:numPr>
          <w:ilvl w:val="0"/>
          <w:numId w:val="3"/>
        </w:numPr>
        <w:spacing w:after="40" w:before="40"/>
      </w:pPr>
      <w:r>
        <w:rPr>
          <w:rFonts w:ascii="Arial" w:cs="Arial" w:eastAsia="Arial" w:hAnsi="Arial"/>
          <w:b w:val="false"/>
          <w:bCs w:val="false"/>
          <w:color w:val="1A1A2E"/>
          <w:sz w:val="22"/>
          <w:szCs w:val="22"/>
        </w:rPr>
        <w:t xml:space="preserve">Dynamic, SLA-aware, cost-aware, and reliability-aware routing and fallback.</w:t>
      </w:r>
    </w:p>
    <w:p>
      <w:pPr>
        <w:pStyle w:val="ListParagraph"/>
        <w:numPr>
          <w:ilvl w:val="0"/>
          <w:numId w:val="3"/>
        </w:numPr>
        <w:spacing w:after="40" w:before="40"/>
      </w:pPr>
      <w:r>
        <w:rPr>
          <w:rFonts w:ascii="Arial" w:cs="Arial" w:eastAsia="Arial" w:hAnsi="Arial"/>
          <w:b w:val="false"/>
          <w:bCs w:val="false"/>
          <w:color w:val="1A1A2E"/>
          <w:sz w:val="22"/>
          <w:szCs w:val="22"/>
        </w:rPr>
        <w:t xml:space="preserve">PromptOps: centralized prompt repository, versioning, rollback, A/B testing, canary releases, and environment management.</w:t>
      </w:r>
    </w:p>
    <w:p>
      <w:pPr>
        <w:pStyle w:val="ListParagraph"/>
        <w:numPr>
          <w:ilvl w:val="0"/>
          <w:numId w:val="3"/>
        </w:numPr>
        <w:spacing w:after="40" w:before="40"/>
      </w:pPr>
      <w:r>
        <w:rPr>
          <w:rFonts w:ascii="Arial" w:cs="Arial" w:eastAsia="Arial" w:hAnsi="Arial"/>
          <w:b w:val="false"/>
          <w:bCs w:val="false"/>
          <w:color w:val="1A1A2E"/>
          <w:sz w:val="22"/>
          <w:szCs w:val="22"/>
        </w:rPr>
        <w:t xml:space="preserve">Evaluation: dataset management, model benchmarking, regression testing, hallucination detection, and production sampling.</w:t>
      </w:r>
    </w:p>
    <w:p>
      <w:pPr>
        <w:pStyle w:val="ListParagraph"/>
        <w:numPr>
          <w:ilvl w:val="0"/>
          <w:numId w:val="3"/>
        </w:numPr>
        <w:spacing w:after="40" w:before="40"/>
      </w:pPr>
      <w:r>
        <w:rPr>
          <w:rFonts w:ascii="Arial" w:cs="Arial" w:eastAsia="Arial" w:hAnsi="Arial"/>
          <w:b w:val="false"/>
          <w:bCs w:val="false"/>
          <w:color w:val="1A1A2E"/>
          <w:sz w:val="22"/>
          <w:szCs w:val="22"/>
        </w:rPr>
        <w:t xml:space="preserve">Guardrails: PII detection and masking, prompt injection detection, jailbreak detection, toxicity detection, secret detection, and custom policy enforcement.</w:t>
      </w:r>
    </w:p>
    <w:p>
      <w:pPr>
        <w:pStyle w:val="ListParagraph"/>
        <w:numPr>
          <w:ilvl w:val="0"/>
          <w:numId w:val="3"/>
        </w:numPr>
        <w:spacing w:after="40" w:before="40"/>
      </w:pPr>
      <w:r>
        <w:rPr>
          <w:rFonts w:ascii="Arial" w:cs="Arial" w:eastAsia="Arial" w:hAnsi="Arial"/>
          <w:b w:val="false"/>
          <w:bCs w:val="false"/>
          <w:color w:val="1A1A2E"/>
          <w:sz w:val="22"/>
          <w:szCs w:val="22"/>
        </w:rPr>
        <w:t xml:space="preserve">MCP lifecycle management: hosting, versioning, deployment, tool access controls, observability, and composable MCP creation.</w:t>
      </w:r>
    </w:p>
    <w:p>
      <w:pPr>
        <w:pStyle w:val="ListParagraph"/>
        <w:numPr>
          <w:ilvl w:val="0"/>
          <w:numId w:val="3"/>
        </w:numPr>
        <w:spacing w:after="40" w:before="40"/>
      </w:pPr>
      <w:r>
        <w:rPr>
          <w:rFonts w:ascii="Arial" w:cs="Arial" w:eastAsia="Arial" w:hAnsi="Arial"/>
          <w:b w:val="false"/>
          <w:bCs w:val="false"/>
          <w:color w:val="1A1A2E"/>
          <w:sz w:val="22"/>
          <w:szCs w:val="22"/>
        </w:rPr>
        <w:t xml:space="preserve">Visual agent builder: drag-and-drop DAG workflow design with agents, APIs, functions, conditions, routers, loops, parallel execution, evaluators, guardrails, and human-in-the-loop steps.</w:t>
      </w:r>
    </w:p>
    <w:p>
      <w:pPr>
        <w:pStyle w:val="ListParagraph"/>
        <w:numPr>
          <w:ilvl w:val="0"/>
          <w:numId w:val="3"/>
        </w:numPr>
        <w:spacing w:after="40" w:before="40"/>
      </w:pPr>
      <w:r>
        <w:rPr>
          <w:rFonts w:ascii="Arial" w:cs="Arial" w:eastAsia="Arial" w:hAnsi="Arial"/>
          <w:b w:val="false"/>
          <w:bCs w:val="false"/>
          <w:color w:val="1A1A2E"/>
          <w:sz w:val="22"/>
          <w:szCs w:val="22"/>
        </w:rPr>
        <w:t xml:space="preserve">Per-call cost and token tracking; per-project budgets and RBAC.</w:t>
      </w:r>
    </w:p>
    <w:p>
      <w:pPr>
        <w:pBdr>
          <w:bottom w:val="single" w:color="C8D8EE" w:sz="4" w:space="1"/>
        </w:pBdr>
        <w:spacing w:after="160" w:before="160"/>
      </w:pPr>
      <w:r>
        <w:t xml:space="preserve"/>
      </w:r>
    </w:p>
    <w:p>
      <w:r>
        <w:br w:type="page"/>
      </w:r>
    </w:p>
    <w:p>
      <w:pPr>
        <w:pStyle w:val="Heading1"/>
        <w:pBdr>
          <w:bottom w:val="single" w:color="1E8FD5" w:sz="8" w:space="6"/>
        </w:pBdr>
        <w:spacing w:after="160" w:before="360"/>
      </w:pPr>
      <w:r>
        <w:rPr>
          <w:rFonts w:ascii="Arial" w:cs="Arial" w:eastAsia="Arial" w:hAnsi="Arial"/>
          <w:b/>
          <w:bCs/>
          <w:color w:val="0F2B4C"/>
          <w:sz w:val="36"/>
          <w:szCs w:val="36"/>
        </w:rPr>
        <w:t xml:space="preserve">5. Competitive Handling</w:t>
      </w:r>
    </w:p>
    <w:p>
      <w:pPr>
        <w:pStyle w:val="Heading2"/>
        <w:spacing w:after="120" w:before="280"/>
      </w:pPr>
      <w:r>
        <w:rPr>
          <w:rFonts w:ascii="Arial" w:cs="Arial" w:eastAsia="Arial" w:hAnsi="Arial"/>
          <w:b/>
          <w:bCs/>
          <w:color w:val="1A4F8A"/>
          <w:sz w:val="26"/>
          <w:szCs w:val="26"/>
        </w:rPr>
        <w:t xml:space="preserve">5.1  Competitive Landscape</w:t>
      </w:r>
    </w:p>
    <w:p>
      <w:pPr>
        <w:spacing w:after="120" w:before="80"/>
      </w:pPr>
      <w:r>
        <w:rPr>
          <w:rFonts w:ascii="Arial" w:cs="Arial" w:eastAsia="Arial" w:hAnsi="Arial"/>
          <w:color w:val="1A1A2E"/>
          <w:sz w:val="22"/>
          <w:szCs w:val="22"/>
        </w:rPr>
        <w:t xml:space="preserve">Ethana overlaps with several point solution categories. The competitive framing is always: Ethana provides these capabilities in an integrated platform, not as isolated tools requiring separate procurement, integration, and governance models.</w:t>
      </w:r>
    </w:p>
    <w:p>
      <w:pPr>
        <w:spacing w:after="0" w:before="80"/>
      </w:pPr>
      <w:r>
        <w:t xml:space="preserve"/>
      </w:r>
    </w:p>
    <w:p>
      <w:pPr>
        <w:pStyle w:val="ListParagraph"/>
        <w:numPr>
          <w:ilvl w:val="0"/>
          <w:numId w:val="3"/>
        </w:numPr>
        <w:spacing w:after="40" w:before="40"/>
      </w:pPr>
      <w:r>
        <w:rPr>
          <w:rFonts w:ascii="Arial" w:cs="Arial" w:eastAsia="Arial" w:hAnsi="Arial"/>
          <w:b w:val="false"/>
          <w:bCs w:val="false"/>
          <w:color w:val="1A1A2E"/>
          <w:sz w:val="22"/>
          <w:szCs w:val="22"/>
        </w:rPr>
        <w:t xml:space="preserve">AI Gateways (e.g. Portkey, LiteLLM) — covered by Ethana Build, with additional PromptOps, evaluation, and MCP management.</w:t>
      </w:r>
    </w:p>
    <w:p>
      <w:pPr>
        <w:pStyle w:val="ListParagraph"/>
        <w:numPr>
          <w:ilvl w:val="0"/>
          <w:numId w:val="3"/>
        </w:numPr>
        <w:spacing w:after="40" w:before="40"/>
      </w:pPr>
      <w:r>
        <w:rPr>
          <w:rFonts w:ascii="Arial" w:cs="Arial" w:eastAsia="Arial" w:hAnsi="Arial"/>
          <w:b w:val="false"/>
          <w:bCs w:val="false"/>
          <w:color w:val="1A1A2E"/>
          <w:sz w:val="22"/>
          <w:szCs w:val="22"/>
        </w:rPr>
        <w:t xml:space="preserve">AI Observability (e.g. Langfuse, Arize) — covered by the shared observability layer across all three products.</w:t>
      </w:r>
    </w:p>
    <w:p>
      <w:pPr>
        <w:pStyle w:val="ListParagraph"/>
        <w:numPr>
          <w:ilvl w:val="0"/>
          <w:numId w:val="3"/>
        </w:numPr>
        <w:spacing w:after="40" w:before="40"/>
      </w:pPr>
      <w:r>
        <w:rPr>
          <w:rFonts w:ascii="Arial" w:cs="Arial" w:eastAsia="Arial" w:hAnsi="Arial"/>
          <w:b w:val="false"/>
          <w:bCs w:val="false"/>
          <w:color w:val="1A1A2E"/>
          <w:sz w:val="22"/>
          <w:szCs w:val="22"/>
        </w:rPr>
        <w:t xml:space="preserve">AI Security / Browser DLP (e.g. LayerX, Nightfall) — covered by Ethana Edge, with AI-specific context including model attribution and MCP server inventory.</w:t>
      </w:r>
    </w:p>
    <w:p>
      <w:pPr>
        <w:pStyle w:val="ListParagraph"/>
        <w:numPr>
          <w:ilvl w:val="0"/>
          <w:numId w:val="3"/>
        </w:numPr>
        <w:spacing w:after="40" w:before="40"/>
      </w:pPr>
      <w:r>
        <w:rPr>
          <w:rFonts w:ascii="Arial" w:cs="Arial" w:eastAsia="Arial" w:hAnsi="Arial"/>
          <w:b w:val="false"/>
          <w:bCs w:val="false"/>
          <w:color w:val="1A1A2E"/>
          <w:sz w:val="22"/>
          <w:szCs w:val="22"/>
        </w:rPr>
        <w:t xml:space="preserve">Enterprise AI Chat (e.g. Microsoft Copilot, Glean) — covered by Ethana Workspace, with full self-hosting and governance.</w:t>
      </w:r>
    </w:p>
    <w:p>
      <w:pPr>
        <w:pStyle w:val="ListParagraph"/>
        <w:numPr>
          <w:ilvl w:val="0"/>
          <w:numId w:val="3"/>
        </w:numPr>
        <w:spacing w:after="40" w:before="40"/>
      </w:pPr>
      <w:r>
        <w:rPr>
          <w:rFonts w:ascii="Arial" w:cs="Arial" w:eastAsia="Arial" w:hAnsi="Arial"/>
          <w:b w:val="false"/>
          <w:bCs w:val="false"/>
          <w:color w:val="1A1A2E"/>
          <w:sz w:val="22"/>
          <w:szCs w:val="22"/>
        </w:rPr>
        <w:t xml:space="preserve">AI Governance Platforms (e.g. Credo AI, AIShield) — Ethana provides operational governance in addition to policy governance.</w:t>
      </w:r>
    </w:p>
    <w:p>
      <w:pPr>
        <w:pStyle w:val="ListParagraph"/>
        <w:numPr>
          <w:ilvl w:val="0"/>
          <w:numId w:val="3"/>
        </w:numPr>
        <w:spacing w:after="40" w:before="40"/>
      </w:pPr>
      <w:r>
        <w:rPr>
          <w:rFonts w:ascii="Arial" w:cs="Arial" w:eastAsia="Arial" w:hAnsi="Arial"/>
          <w:b w:val="false"/>
          <w:bCs w:val="false"/>
          <w:color w:val="1A1A2E"/>
          <w:sz w:val="22"/>
          <w:szCs w:val="22"/>
        </w:rPr>
        <w:t xml:space="preserve">Agent Platforms (e.g. LangChain, CrewAI) — covered by Ethana Build's agent builder and MCP platform.</w:t>
      </w:r>
    </w:p>
    <w:p>
      <w:pPr>
        <w:spacing w:after="0" w:before="100"/>
      </w:pPr>
      <w:r>
        <w:t xml:space="preserve"/>
      </w:r>
    </w:p>
    <w:p>
      <w:pPr>
        <w:pStyle w:val="Heading2"/>
        <w:spacing w:after="120" w:before="280"/>
      </w:pPr>
      <w:r>
        <w:rPr>
          <w:rFonts w:ascii="Arial" w:cs="Arial" w:eastAsia="Arial" w:hAnsi="Arial"/>
          <w:b/>
          <w:bCs/>
          <w:color w:val="1A4F8A"/>
          <w:sz w:val="26"/>
          <w:szCs w:val="26"/>
        </w:rPr>
        <w:t xml:space="preserve">5.2  Objection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8EE" w:sz="4"/>
              <w:left w:val="single" w:color="C8D8EE" w:sz="4"/>
              <w:bottom w:val="single" w:color="C8D8EE" w:sz="4"/>
              <w:right w:val="single" w:color="C8D8EE" w:sz="4"/>
            </w:tcBorders>
            <w:shd w:fill="1A4F8A" w:val="clear"/>
            <w:tcMar>
              <w:top w:type="dxa" w:w="80"/>
              <w:left w:type="dxa" w:w="120"/>
              <w:bottom w:type="dxa" w:w="80"/>
              <w:right w:type="dxa" w:w="120"/>
            </w:tcMar>
          </w:tcPr>
          <w:p>
            <w:r>
              <w:rPr>
                <w:rFonts w:ascii="Arial" w:cs="Arial" w:eastAsia="Arial" w:hAnsi="Arial"/>
                <w:b/>
                <w:bCs/>
                <w:color w:val="FFFFFF"/>
                <w:sz w:val="20"/>
                <w:szCs w:val="20"/>
              </w:rPr>
              <w:t xml:space="preserve">Objection</w:t>
            </w:r>
          </w:p>
        </w:tc>
        <w:tc>
          <w:tcPr>
            <w:tcW w:type="dxa" w:w="4680"/>
            <w:tcBorders>
              <w:top w:val="single" w:color="C8D8EE" w:sz="4"/>
              <w:left w:val="single" w:color="C8D8EE" w:sz="4"/>
              <w:bottom w:val="single" w:color="C8D8EE" w:sz="4"/>
              <w:right w:val="single" w:color="C8D8EE" w:sz="4"/>
            </w:tcBorders>
            <w:shd w:fill="1A4F8A"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4680"/>
            <w:tcBorders>
              <w:top w:val="single" w:color="C8D8EE" w:sz="4"/>
              <w:left w:val="single" w:color="C8D8EE" w:sz="4"/>
              <w:bottom w:val="single" w:color="C8D8EE" w:sz="4"/>
              <w:right w:val="single" w:color="C8D8EE" w:sz="4"/>
            </w:tcBorders>
            <w:shd w:fill="EEF4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"We already have Zscaler / DLP."</w:t>
            </w:r>
          </w:p>
        </w:tc>
        <w:tc>
          <w:tcPr>
            <w:tcW w:type="dxa" w:w="4680"/>
            <w:tcBorders>
              <w:top w:val="single" w:color="C8D8EE" w:sz="4"/>
              <w:left w:val="single" w:color="C8D8EE" w:sz="4"/>
              <w:bottom w:val="single" w:color="C8D8EE" w:sz="4"/>
              <w:right w:val="single" w:color="C8D8EE" w:sz="4"/>
            </w:tcBorders>
            <w:shd w:fill="EEF4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Traditional DLP is not AI-aware — it has no concept of model selection, MCP servers, or AI interaction context. Ethana Edge today provides AI-specific observability: a full inventory of every AI tool on every device, prompt and response visibility, and per-user attribution that DLP cannot produce. Enforcement and blocking capabilities are on the roadmap.</w:t>
            </w:r>
          </w:p>
        </w:tc>
      </w:tr>
      <w:tr>
        <w:tc>
          <w:tcPr>
            <w:tcW w:type="dxa" w:w="4680"/>
            <w:tcBorders>
              <w:top w:val="single" w:color="C8D8EE" w:sz="4"/>
              <w:left w:val="single" w:color="C8D8EE" w:sz="4"/>
              <w:bottom w:val="single" w:color="C8D8EE" w:sz="4"/>
              <w:right w:val="single" w:color="C8D8EE" w:sz="4"/>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"We will just use the gateway our cloud provider offers."</w:t>
            </w:r>
          </w:p>
        </w:tc>
        <w:tc>
          <w:tcPr>
            <w:tcW w:type="dxa" w:w="4680"/>
            <w:tcBorders>
              <w:top w:val="single" w:color="C8D8EE" w:sz="4"/>
              <w:left w:val="single" w:color="C8D8EE" w:sz="4"/>
              <w:bottom w:val="single" w:color="C8D8EE" w:sz="4"/>
              <w:right w:val="single" w:color="C8D8EE" w:sz="4"/>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Cloud-native gateways are single-provider. Ethana Build provides provider-independent multi-model routing, PromptOps, evaluation, and MCP governance across OpenAI, Anthropic, Gemini, and self-hosted models.</w:t>
            </w:r>
          </w:p>
        </w:tc>
      </w:tr>
      <w:tr>
        <w:tc>
          <w:tcPr>
            <w:tcW w:type="dxa" w:w="4680"/>
            <w:tcBorders>
              <w:top w:val="single" w:color="C8D8EE" w:sz="4"/>
              <w:left w:val="single" w:color="C8D8EE" w:sz="4"/>
              <w:bottom w:val="single" w:color="C8D8EE" w:sz="4"/>
              <w:right w:val="single" w:color="C8D8EE" w:sz="4"/>
            </w:tcBorders>
            <w:shd w:fill="EEF4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"We are not ready for AI governance yet."</w:t>
            </w:r>
          </w:p>
        </w:tc>
        <w:tc>
          <w:tcPr>
            <w:tcW w:type="dxa" w:w="4680"/>
            <w:tcBorders>
              <w:top w:val="single" w:color="C8D8EE" w:sz="4"/>
              <w:left w:val="single" w:color="C8D8EE" w:sz="4"/>
              <w:bottom w:val="single" w:color="C8D8EE" w:sz="4"/>
              <w:right w:val="single" w:color="C8D8EE" w:sz="4"/>
            </w:tcBorders>
            <w:shd w:fill="EEF4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Shadow AI is already present. Ethana Edge requires no organizational change to begin — deploy the endpoint agent, and you get an immediate inventory of what is already running.</w:t>
            </w:r>
          </w:p>
        </w:tc>
      </w:tr>
      <w:tr>
        <w:tc>
          <w:tcPr>
            <w:tcW w:type="dxa" w:w="4680"/>
            <w:tcBorders>
              <w:top w:val="single" w:color="C8D8EE" w:sz="4"/>
              <w:left w:val="single" w:color="C8D8EE" w:sz="4"/>
              <w:bottom w:val="single" w:color="C8D8EE" w:sz="4"/>
              <w:right w:val="single" w:color="C8D8EE" w:sz="4"/>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"We have a small team and limited budget."</w:t>
            </w:r>
          </w:p>
        </w:tc>
        <w:tc>
          <w:tcPr>
            <w:tcW w:type="dxa" w:w="4680"/>
            <w:tcBorders>
              <w:top w:val="single" w:color="C8D8EE" w:sz="4"/>
              <w:left w:val="single" w:color="C8D8EE" w:sz="4"/>
              <w:bottom w:val="single" w:color="C8D8EE" w:sz="4"/>
              <w:right w:val="single" w:color="C8D8EE" w:sz="4"/>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Ethana is licensed per platform, not per seat or per token. A single Edge license at $10,000/year covers the whole organization. No per-user fees.</w:t>
            </w:r>
          </w:p>
        </w:tc>
      </w:tr>
      <w:tr>
        <w:tc>
          <w:tcPr>
            <w:tcW w:type="dxa" w:w="4680"/>
            <w:tcBorders>
              <w:top w:val="single" w:color="C8D8EE" w:sz="4"/>
              <w:left w:val="single" w:color="C8D8EE" w:sz="4"/>
              <w:bottom w:val="single" w:color="C8D8EE" w:sz="4"/>
              <w:right w:val="single" w:color="C8D8EE" w:sz="4"/>
            </w:tcBorders>
            <w:shd w:fill="EEF4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"We need everything on-prem / air-gapped."</w:t>
            </w:r>
          </w:p>
        </w:tc>
        <w:tc>
          <w:tcPr>
            <w:tcW w:type="dxa" w:w="4680"/>
            <w:tcBorders>
              <w:top w:val="single" w:color="C8D8EE" w:sz="4"/>
              <w:left w:val="single" w:color="C8D8EE" w:sz="4"/>
              <w:bottom w:val="single" w:color="C8D8EE" w:sz="4"/>
              <w:right w:val="single" w:color="C8D8EE" w:sz="4"/>
            </w:tcBorders>
            <w:shd w:fill="EEF4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Ethana is explicitly designed for on-premises, VPC, and air-gapped deployment. No customer prompts, data, or telemetry are required to leave the customer-controlled environment.</w:t>
            </w:r>
          </w:p>
        </w:tc>
      </w:tr>
      <w:tr>
        <w:tc>
          <w:tcPr>
            <w:tcW w:type="dxa" w:w="4680"/>
            <w:tcBorders>
              <w:top w:val="single" w:color="C8D8EE" w:sz="4"/>
              <w:left w:val="single" w:color="C8D8EE" w:sz="4"/>
              <w:bottom w:val="single" w:color="C8D8EE" w:sz="4"/>
              <w:right w:val="single" w:color="C8D8EE" w:sz="4"/>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"We are already building our own internal gateway."</w:t>
            </w:r>
          </w:p>
        </w:tc>
        <w:tc>
          <w:tcPr>
            <w:tcW w:type="dxa" w:w="4680"/>
            <w:tcBorders>
              <w:top w:val="single" w:color="C8D8EE" w:sz="4"/>
              <w:left w:val="single" w:color="C8D8EE" w:sz="4"/>
              <w:bottom w:val="single" w:color="C8D8EE" w:sz="4"/>
              <w:right w:val="single" w:color="C8D8EE" w:sz="4"/>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Ethana Build is available today with PromptOps, evaluation, MCP lifecycle management, and agent orchestration built in. Internal builds rarely replicate these capabilities.</w:t>
            </w:r>
          </w:p>
        </w:tc>
      </w:tr>
    </w:tbl>
    <w:p>
      <w:pPr>
        <w:pBdr>
          <w:bottom w:val="single" w:color="C8D8EE" w:sz="4" w:space="1"/>
        </w:pBdr>
        <w:spacing w:after="160" w:before="160"/>
      </w:pPr>
      <w:r>
        <w:t xml:space="preserve"/>
      </w:r>
    </w:p>
    <w:p>
      <w:pPr>
        <w:pStyle w:val="Heading1"/>
        <w:pBdr>
          <w:bottom w:val="single" w:color="1E8FD5" w:sz="8" w:space="6"/>
        </w:pBdr>
        <w:spacing w:after="160" w:before="360"/>
      </w:pPr>
      <w:r>
        <w:rPr>
          <w:rFonts w:ascii="Arial" w:cs="Arial" w:eastAsia="Arial" w:hAnsi="Arial"/>
          <w:b/>
          <w:bCs/>
          <w:color w:val="0F2B4C"/>
          <w:sz w:val="36"/>
          <w:szCs w:val="36"/>
        </w:rPr>
        <w:t xml:space="preserve">6. Sales Plays</w:t>
      </w:r>
    </w:p>
    <w:p>
      <w:pPr>
        <w:pStyle w:val="Heading2"/>
        <w:spacing w:after="120" w:before="280"/>
      </w:pPr>
      <w:r>
        <w:rPr>
          <w:rFonts w:ascii="Arial" w:cs="Arial" w:eastAsia="Arial" w:hAnsi="Arial"/>
          <w:b/>
          <w:bCs/>
          <w:color w:val="1A4F8A"/>
          <w:sz w:val="26"/>
          <w:szCs w:val="26"/>
        </w:rPr>
        <w:t xml:space="preserve">6.1  Shadow AI Discovery Play</w:t>
      </w:r>
    </w:p>
    <w:p>
      <w:pPr>
        <w:spacing w:after="120" w:before="80"/>
      </w:pPr>
      <w:r>
        <w:rPr>
          <w:rFonts w:ascii="Arial" w:cs="Arial" w:eastAsia="Arial" w:hAnsi="Arial"/>
          <w:b/>
          <w:bCs/>
          <w:sz w:val="22"/>
          <w:szCs w:val="22"/>
        </w:rPr>
        <w:t xml:space="preserve">Target: </w:t>
      </w:r>
      <w:r>
        <w:rPr>
          <w:rFonts w:ascii="Arial" w:cs="Arial" w:eastAsia="Arial" w:hAnsi="Arial"/>
          <w:color w:val="1A1A2E"/>
          <w:sz w:val="22"/>
          <w:szCs w:val="22"/>
        </w:rPr>
        <w:t xml:space="preserve">CISO or Head of IT at enterprises in regulated industries.</w:t>
      </w:r>
    </w:p>
    <w:p>
      <w:pPr>
        <w:pStyle w:val="ListParagraph"/>
        <w:numPr>
          <w:ilvl w:val="0"/>
          <w:numId w:val="3"/>
        </w:numPr>
        <w:spacing w:after="40" w:before="40"/>
      </w:pPr>
      <w:r>
        <w:rPr>
          <w:rFonts w:ascii="Arial" w:cs="Arial" w:eastAsia="Arial" w:hAnsi="Arial"/>
          <w:b w:val="false"/>
          <w:bCs w:val="false"/>
          <w:color w:val="1A1A2E"/>
          <w:sz w:val="22"/>
          <w:szCs w:val="22"/>
        </w:rPr>
        <w:t xml:space="preserve">Opening question: Do you have an accurate list of every AI tool your employees are using right now?</w:t>
      </w:r>
    </w:p>
    <w:p>
      <w:pPr>
        <w:pStyle w:val="ListParagraph"/>
        <w:numPr>
          <w:ilvl w:val="0"/>
          <w:numId w:val="3"/>
        </w:numPr>
        <w:spacing w:after="40" w:before="40"/>
      </w:pPr>
      <w:r>
        <w:rPr>
          <w:rFonts w:ascii="Arial" w:cs="Arial" w:eastAsia="Arial" w:hAnsi="Arial"/>
          <w:b w:val="false"/>
          <w:bCs w:val="false"/>
          <w:color w:val="1A1A2E"/>
          <w:sz w:val="22"/>
          <w:szCs w:val="22"/>
        </w:rPr>
        <w:t xml:space="preserve">Entry product: Ethana Edge at $10,000/year.</w:t>
      </w:r>
    </w:p>
    <w:p>
      <w:pPr>
        <w:pStyle w:val="ListParagraph"/>
        <w:numPr>
          <w:ilvl w:val="0"/>
          <w:numId w:val="3"/>
        </w:numPr>
        <w:spacing w:after="40" w:before="40"/>
      </w:pPr>
      <w:r>
        <w:rPr>
          <w:rFonts w:ascii="Arial" w:cs="Arial" w:eastAsia="Arial" w:hAnsi="Arial"/>
          <w:b w:val="false"/>
          <w:bCs w:val="false"/>
          <w:color w:val="1A1A2E"/>
          <w:sz w:val="22"/>
          <w:szCs w:val="22"/>
        </w:rPr>
        <w:t xml:space="preserve">Demo focus: Live AI inventory from endpoint agent; prompt and response visibility from browser extension.</w:t>
      </w:r>
    </w:p>
    <w:p>
      <w:pPr>
        <w:pStyle w:val="ListParagraph"/>
        <w:numPr>
          <w:ilvl w:val="0"/>
          <w:numId w:val="3"/>
        </w:numPr>
        <w:spacing w:after="40" w:before="40"/>
      </w:pPr>
      <w:r>
        <w:rPr>
          <w:rFonts w:ascii="Arial" w:cs="Arial" w:eastAsia="Arial" w:hAnsi="Arial"/>
          <w:b w:val="false"/>
          <w:bCs w:val="false"/>
          <w:color w:val="1A1A2E"/>
          <w:sz w:val="22"/>
          <w:szCs w:val="22"/>
        </w:rPr>
        <w:t xml:space="preserve">Expansion path: Once Edge is deployed, surface the need for governed Workspace to redirect shadow AI usage.</w:t>
      </w:r>
    </w:p>
    <w:p>
      <w:pPr>
        <w:pStyle w:val="ListParagraph"/>
        <w:numPr>
          <w:ilvl w:val="0"/>
          <w:numId w:val="3"/>
        </w:numPr>
        <w:spacing w:after="40" w:before="40"/>
      </w:pPr>
      <w:r>
        <w:rPr>
          <w:rFonts w:ascii="Arial" w:cs="Arial" w:eastAsia="Arial" w:hAnsi="Arial"/>
          <w:b w:val="false"/>
          <w:bCs w:val="false"/>
          <w:color w:val="1A1A2E"/>
          <w:sz w:val="22"/>
          <w:szCs w:val="22"/>
        </w:rPr>
        <w:t xml:space="preserve">Proof point: Edge can be deployed with no organizational change. Show the inventory within 30 minutes of install.</w:t>
      </w:r>
    </w:p>
    <w:p>
      <w:pPr>
        <w:spacing w:after="0" w:before="100"/>
      </w:pPr>
      <w:r>
        <w:t xml:space="preserve"/>
      </w:r>
    </w:p>
    <w:p>
      <w:pPr>
        <w:pStyle w:val="Heading2"/>
        <w:spacing w:after="120" w:before="280"/>
      </w:pPr>
      <w:r>
        <w:rPr>
          <w:rFonts w:ascii="Arial" w:cs="Arial" w:eastAsia="Arial" w:hAnsi="Arial"/>
          <w:b/>
          <w:bCs/>
          <w:color w:val="1A4F8A"/>
          <w:sz w:val="26"/>
          <w:szCs w:val="26"/>
        </w:rPr>
        <w:t xml:space="preserve">6.2  Regulatory Audit Readiness Play</w:t>
      </w:r>
    </w:p>
    <w:p>
      <w:pPr>
        <w:spacing w:after="120" w:before="80"/>
      </w:pPr>
      <w:r>
        <w:rPr>
          <w:rFonts w:ascii="Arial" w:cs="Arial" w:eastAsia="Arial" w:hAnsi="Arial"/>
          <w:b/>
          <w:bCs/>
          <w:sz w:val="22"/>
          <w:szCs w:val="22"/>
        </w:rPr>
        <w:t xml:space="preserve">Target: </w:t>
      </w:r>
      <w:r>
        <w:rPr>
          <w:rFonts w:ascii="Arial" w:cs="Arial" w:eastAsia="Arial" w:hAnsi="Arial"/>
          <w:color w:val="1A1A2E"/>
          <w:sz w:val="22"/>
          <w:szCs w:val="22"/>
        </w:rPr>
        <w:t xml:space="preserve">CISO or Chief Compliance Officer at BFSI, insurance, or healthcare organizations.</w:t>
      </w:r>
    </w:p>
    <w:p>
      <w:pPr>
        <w:pStyle w:val="ListParagraph"/>
        <w:numPr>
          <w:ilvl w:val="0"/>
          <w:numId w:val="3"/>
        </w:numPr>
        <w:spacing w:after="40" w:before="40"/>
      </w:pPr>
      <w:r>
        <w:rPr>
          <w:rFonts w:ascii="Arial" w:cs="Arial" w:eastAsia="Arial" w:hAnsi="Arial"/>
          <w:b w:val="false"/>
          <w:bCs w:val="false"/>
          <w:color w:val="1A1A2E"/>
          <w:sz w:val="22"/>
          <w:szCs w:val="22"/>
        </w:rPr>
        <w:t xml:space="preserve">Opening question: If the regulator asked for an AI usage register tomorrow — by user, model, business unit, and data category — how quickly could you produce it?</w:t>
      </w:r>
    </w:p>
    <w:p>
      <w:pPr>
        <w:pStyle w:val="ListParagraph"/>
        <w:numPr>
          <w:ilvl w:val="0"/>
          <w:numId w:val="3"/>
        </w:numPr>
        <w:spacing w:after="40" w:before="40"/>
      </w:pPr>
      <w:r>
        <w:rPr>
          <w:rFonts w:ascii="Arial" w:cs="Arial" w:eastAsia="Arial" w:hAnsi="Arial"/>
          <w:b w:val="false"/>
          <w:bCs w:val="false"/>
          <w:color w:val="1A1A2E"/>
          <w:sz w:val="22"/>
          <w:szCs w:val="22"/>
        </w:rPr>
        <w:t xml:space="preserve">Entry product: Ethana Edge.</w:t>
      </w:r>
    </w:p>
    <w:p>
      <w:pPr>
        <w:pStyle w:val="ListParagraph"/>
        <w:numPr>
          <w:ilvl w:val="0"/>
          <w:numId w:val="3"/>
        </w:numPr>
        <w:spacing w:after="40" w:before="40"/>
      </w:pPr>
      <w:r>
        <w:rPr>
          <w:rFonts w:ascii="Arial" w:cs="Arial" w:eastAsia="Arial" w:hAnsi="Arial"/>
          <w:b w:val="false"/>
          <w:bCs w:val="false"/>
          <w:color w:val="1A1A2E"/>
          <w:sz w:val="22"/>
          <w:szCs w:val="22"/>
        </w:rPr>
        <w:t xml:space="preserve">Demo focus: Compliance reports, user attribution, audit log export.</w:t>
      </w:r>
    </w:p>
    <w:p>
      <w:pPr>
        <w:pStyle w:val="ListParagraph"/>
        <w:numPr>
          <w:ilvl w:val="0"/>
          <w:numId w:val="3"/>
        </w:numPr>
        <w:spacing w:after="40" w:before="40"/>
      </w:pPr>
      <w:r>
        <w:rPr>
          <w:rFonts w:ascii="Arial" w:cs="Arial" w:eastAsia="Arial" w:hAnsi="Arial"/>
          <w:b w:val="false"/>
          <w:bCs w:val="false"/>
          <w:color w:val="1A1A2E"/>
          <w:sz w:val="22"/>
          <w:szCs w:val="22"/>
        </w:rPr>
        <w:t xml:space="preserve">Expansion path: Ethana Workspace for governed AI usage; audit logs from Workspace cover internal AI interactions beyond the browser.</w:t>
      </w:r>
    </w:p>
    <w:p>
      <w:pPr>
        <w:pStyle w:val="ListParagraph"/>
        <w:numPr>
          <w:ilvl w:val="0"/>
          <w:numId w:val="3"/>
        </w:numPr>
        <w:spacing w:after="40" w:before="40"/>
      </w:pPr>
      <w:r>
        <w:rPr>
          <w:rFonts w:ascii="Arial" w:cs="Arial" w:eastAsia="Arial" w:hAnsi="Arial"/>
          <w:b w:val="false"/>
          <w:bCs w:val="false"/>
          <w:color w:val="1A1A2E"/>
          <w:sz w:val="22"/>
          <w:szCs w:val="22"/>
        </w:rPr>
        <w:t xml:space="preserve">Regulatory hook: Align messaging to RBI Digital Risk guidance, IRDAI Cybersecurity Guidelines, SEBI, and DPDP obligations.</w:t>
      </w:r>
    </w:p>
    <w:p>
      <w:pPr>
        <w:spacing w:after="0" w:before="100"/>
      </w:pPr>
      <w:r>
        <w:t xml:space="preserve"/>
      </w:r>
    </w:p>
    <w:p>
      <w:pPr>
        <w:pStyle w:val="Heading2"/>
        <w:spacing w:after="120" w:before="280"/>
      </w:pPr>
      <w:r>
        <w:rPr>
          <w:rFonts w:ascii="Arial" w:cs="Arial" w:eastAsia="Arial" w:hAnsi="Arial"/>
          <w:b/>
          <w:bCs/>
          <w:color w:val="1A4F8A"/>
          <w:sz w:val="26"/>
          <w:szCs w:val="26"/>
        </w:rPr>
        <w:t xml:space="preserve">6.3  AI Infrastructure Play (Build-led)</w:t>
      </w:r>
    </w:p>
    <w:p>
      <w:pPr>
        <w:spacing w:after="120" w:before="80"/>
      </w:pPr>
      <w:r>
        <w:rPr>
          <w:rFonts w:ascii="Arial" w:cs="Arial" w:eastAsia="Arial" w:hAnsi="Arial"/>
          <w:b/>
          <w:bCs/>
          <w:sz w:val="22"/>
          <w:szCs w:val="22"/>
        </w:rPr>
        <w:t xml:space="preserve">Target: </w:t>
      </w:r>
      <w:r>
        <w:rPr>
          <w:rFonts w:ascii="Arial" w:cs="Arial" w:eastAsia="Arial" w:hAnsi="Arial"/>
          <w:color w:val="1A1A2E"/>
          <w:sz w:val="22"/>
          <w:szCs w:val="22"/>
        </w:rPr>
        <w:t xml:space="preserve">Engineering leads, platform teams, or AI teams building internal AI applications.</w:t>
      </w:r>
    </w:p>
    <w:p>
      <w:pPr>
        <w:pStyle w:val="ListParagraph"/>
        <w:numPr>
          <w:ilvl w:val="0"/>
          <w:numId w:val="3"/>
        </w:numPr>
        <w:spacing w:after="40" w:before="40"/>
      </w:pPr>
      <w:r>
        <w:rPr>
          <w:rFonts w:ascii="Arial" w:cs="Arial" w:eastAsia="Arial" w:hAnsi="Arial"/>
          <w:b w:val="false"/>
          <w:bCs w:val="false"/>
          <w:color w:val="1A1A2E"/>
          <w:sz w:val="22"/>
          <w:szCs w:val="22"/>
        </w:rPr>
        <w:t xml:space="preserve">Opening question: How are you managing prompt versions, model routing, and evaluations across your AI applications in production?</w:t>
      </w:r>
    </w:p>
    <w:p>
      <w:pPr>
        <w:pStyle w:val="ListParagraph"/>
        <w:numPr>
          <w:ilvl w:val="0"/>
          <w:numId w:val="3"/>
        </w:numPr>
        <w:spacing w:after="40" w:before="40"/>
      </w:pPr>
      <w:r>
        <w:rPr>
          <w:rFonts w:ascii="Arial" w:cs="Arial" w:eastAsia="Arial" w:hAnsi="Arial"/>
          <w:b w:val="false"/>
          <w:bCs w:val="false"/>
          <w:color w:val="1A1A2E"/>
          <w:sz w:val="22"/>
          <w:szCs w:val="22"/>
        </w:rPr>
        <w:t xml:space="preserve">Entry product: Ethana Build at $30,000/year.</w:t>
      </w:r>
    </w:p>
    <w:p>
      <w:pPr>
        <w:pStyle w:val="ListParagraph"/>
        <w:numPr>
          <w:ilvl w:val="0"/>
          <w:numId w:val="3"/>
        </w:numPr>
        <w:spacing w:after="40" w:before="40"/>
      </w:pPr>
      <w:r>
        <w:rPr>
          <w:rFonts w:ascii="Arial" w:cs="Arial" w:eastAsia="Arial" w:hAnsi="Arial"/>
          <w:b w:val="false"/>
          <w:bCs w:val="false"/>
          <w:color w:val="1A1A2E"/>
          <w:sz w:val="22"/>
          <w:szCs w:val="22"/>
        </w:rPr>
        <w:t xml:space="preserve">Demo focus: PromptOps workflow, multi-model gateway, evaluation pipeline, agent builder.</w:t>
      </w:r>
    </w:p>
    <w:p>
      <w:pPr>
        <w:pStyle w:val="ListParagraph"/>
        <w:numPr>
          <w:ilvl w:val="0"/>
          <w:numId w:val="3"/>
        </w:numPr>
        <w:spacing w:after="40" w:before="40"/>
      </w:pPr>
      <w:r>
        <w:rPr>
          <w:rFonts w:ascii="Arial" w:cs="Arial" w:eastAsia="Arial" w:hAnsi="Arial"/>
          <w:b w:val="false"/>
          <w:bCs w:val="false"/>
          <w:color w:val="1A1A2E"/>
          <w:sz w:val="22"/>
          <w:szCs w:val="22"/>
        </w:rPr>
        <w:t xml:space="preserve">Expansion path: Once Build is in place, propose Edge to govern developer AI tool usage; propose Workspace for internal teams consuming AI.</w:t>
      </w:r>
    </w:p>
    <w:p>
      <w:pPr>
        <w:pStyle w:val="ListParagraph"/>
        <w:numPr>
          <w:ilvl w:val="0"/>
          <w:numId w:val="3"/>
        </w:numPr>
        <w:spacing w:after="40" w:before="40"/>
      </w:pPr>
      <w:r>
        <w:rPr>
          <w:rFonts w:ascii="Arial" w:cs="Arial" w:eastAsia="Arial" w:hAnsi="Arial"/>
          <w:b w:val="false"/>
          <w:bCs w:val="false"/>
          <w:color w:val="1A1A2E"/>
          <w:sz w:val="22"/>
          <w:szCs w:val="22"/>
        </w:rPr>
        <w:t xml:space="preserve">Competitive angle: Ethana Build replaces a fragmented stack of LiteLLM, Langfuse, a custom eval harness, and an ad hoc MCP setup.</w:t>
      </w:r>
    </w:p>
    <w:p>
      <w:pPr>
        <w:spacing w:after="0" w:before="100"/>
      </w:pPr>
      <w:r>
        <w:t xml:space="preserve"/>
      </w:r>
    </w:p>
    <w:p>
      <w:pPr>
        <w:pStyle w:val="Heading2"/>
        <w:spacing w:after="120" w:before="280"/>
      </w:pPr>
      <w:r>
        <w:rPr>
          <w:rFonts w:ascii="Arial" w:cs="Arial" w:eastAsia="Arial" w:hAnsi="Arial"/>
          <w:b/>
          <w:bCs/>
          <w:color w:val="1A4F8A"/>
          <w:sz w:val="26"/>
          <w:szCs w:val="26"/>
        </w:rPr>
        <w:t xml:space="preserve">6.4  Full Platform / Bundle Play</w:t>
      </w:r>
    </w:p>
    <w:p>
      <w:pPr>
        <w:spacing w:after="120" w:before="80"/>
      </w:pPr>
      <w:r>
        <w:rPr>
          <w:rFonts w:ascii="Arial" w:cs="Arial" w:eastAsia="Arial" w:hAnsi="Arial"/>
          <w:b/>
          <w:bCs/>
          <w:sz w:val="22"/>
          <w:szCs w:val="22"/>
        </w:rPr>
        <w:t xml:space="preserve">Target: </w:t>
      </w:r>
      <w:r>
        <w:rPr>
          <w:rFonts w:ascii="Arial" w:cs="Arial" w:eastAsia="Arial" w:hAnsi="Arial"/>
          <w:color w:val="1A1A2E"/>
          <w:sz w:val="22"/>
          <w:szCs w:val="22"/>
        </w:rPr>
        <w:t xml:space="preserve">CIO, CTO, or CISO with enterprise-wide AI governance mandate.</w:t>
      </w:r>
    </w:p>
    <w:p>
      <w:pPr>
        <w:pStyle w:val="ListParagraph"/>
        <w:numPr>
          <w:ilvl w:val="0"/>
          <w:numId w:val="3"/>
        </w:numPr>
        <w:spacing w:after="40" w:before="40"/>
      </w:pPr>
      <w:r>
        <w:rPr>
          <w:rFonts w:ascii="Arial" w:cs="Arial" w:eastAsia="Arial" w:hAnsi="Arial"/>
          <w:b w:val="false"/>
          <w:bCs w:val="false"/>
          <w:color w:val="1A1A2E"/>
          <w:sz w:val="22"/>
          <w:szCs w:val="22"/>
        </w:rPr>
        <w:t xml:space="preserve">Opening question: Which layer of your AI stack do you have the least visibility into right now — the tools employees use, the AI your teams are building, or both?</w:t>
      </w:r>
    </w:p>
    <w:p>
      <w:pPr>
        <w:pStyle w:val="ListParagraph"/>
        <w:numPr>
          <w:ilvl w:val="0"/>
          <w:numId w:val="3"/>
        </w:numPr>
        <w:spacing w:after="40" w:before="40"/>
      </w:pPr>
      <w:r>
        <w:rPr>
          <w:rFonts w:ascii="Arial" w:cs="Arial" w:eastAsia="Arial" w:hAnsi="Arial"/>
          <w:b w:val="false"/>
          <w:bCs w:val="false"/>
          <w:color w:val="1A1A2E"/>
          <w:sz w:val="22"/>
          <w:szCs w:val="22"/>
        </w:rPr>
        <w:t xml:space="preserve">Entry product: Enterprise AI Control Plane Bundle at $45,000/year.</w:t>
      </w:r>
    </w:p>
    <w:p>
      <w:pPr>
        <w:pStyle w:val="ListParagraph"/>
        <w:numPr>
          <w:ilvl w:val="0"/>
          <w:numId w:val="3"/>
        </w:numPr>
        <w:spacing w:after="40" w:before="40"/>
      </w:pPr>
      <w:r>
        <w:rPr>
          <w:rFonts w:ascii="Arial" w:cs="Arial" w:eastAsia="Arial" w:hAnsi="Arial"/>
          <w:b w:val="false"/>
          <w:bCs w:val="false"/>
          <w:color w:val="1A1A2E"/>
          <w:sz w:val="22"/>
          <w:szCs w:val="22"/>
        </w:rPr>
        <w:t xml:space="preserve">Demo structure: 10 minutes each on Edge, Workspace, Build; show unified audit dashboard.</w:t>
      </w:r>
    </w:p>
    <w:p>
      <w:pPr>
        <w:pStyle w:val="ListParagraph"/>
        <w:numPr>
          <w:ilvl w:val="0"/>
          <w:numId w:val="3"/>
        </w:numPr>
        <w:spacing w:after="40" w:before="40"/>
      </w:pPr>
      <w:r>
        <w:rPr>
          <w:rFonts w:ascii="Arial" w:cs="Arial" w:eastAsia="Arial" w:hAnsi="Arial"/>
          <w:b w:val="false"/>
          <w:bCs w:val="false"/>
          <w:color w:val="1A1A2E"/>
          <w:sz w:val="22"/>
          <w:szCs w:val="22"/>
        </w:rPr>
        <w:t xml:space="preserve">Pricing anchor: Bundle delivers all three platforms for the cost of Build plus one additional product.</w:t>
      </w:r>
    </w:p>
    <w:p>
      <w:pPr>
        <w:pStyle w:val="ListParagraph"/>
        <w:numPr>
          <w:ilvl w:val="0"/>
          <w:numId w:val="3"/>
        </w:numPr>
        <w:spacing w:after="40" w:before="40"/>
      </w:pPr>
      <w:r>
        <w:rPr>
          <w:rFonts w:ascii="Arial" w:cs="Arial" w:eastAsia="Arial" w:hAnsi="Arial"/>
          <w:b w:val="false"/>
          <w:bCs w:val="false"/>
          <w:color w:val="1A1A2E"/>
          <w:sz w:val="22"/>
          <w:szCs w:val="22"/>
        </w:rPr>
        <w:t xml:space="preserve">Deployment note: Entire platform available on-premises, in VPC, or air-gapped. No customer data leaves the organization.</w:t>
      </w:r>
    </w:p>
    <w:p>
      <w:pPr>
        <w:pBdr>
          <w:bottom w:val="single" w:color="C8D8EE" w:sz="4" w:space="1"/>
        </w:pBdr>
        <w:spacing w:after="160" w:before="160"/>
      </w:pPr>
      <w:r>
        <w:t xml:space="preserve"/>
      </w:r>
    </w:p>
    <w:p>
      <w:r>
        <w:br w:type="page"/>
      </w:r>
    </w:p>
    <w:p>
      <w:pPr>
        <w:pStyle w:val="Heading1"/>
        <w:pBdr>
          <w:bottom w:val="single" w:color="1E8FD5" w:sz="8" w:space="6"/>
        </w:pBdr>
        <w:spacing w:after="160" w:before="360"/>
      </w:pPr>
      <w:r>
        <w:rPr>
          <w:rFonts w:ascii="Arial" w:cs="Arial" w:eastAsia="Arial" w:hAnsi="Arial"/>
          <w:b/>
          <w:bCs/>
          <w:color w:val="0F2B4C"/>
          <w:sz w:val="36"/>
          <w:szCs w:val="36"/>
        </w:rPr>
        <w:t xml:space="preserve">7. Pricing Reference</w:t>
      </w:r>
    </w:p>
    <w:p>
      <w:pPr>
        <w:pStyle w:val="Heading2"/>
        <w:spacing w:after="120" w:before="280"/>
      </w:pPr>
      <w:r>
        <w:rPr>
          <w:rFonts w:ascii="Arial" w:cs="Arial" w:eastAsia="Arial" w:hAnsi="Arial"/>
          <w:b/>
          <w:bCs/>
          <w:color w:val="1A4F8A"/>
          <w:sz w:val="26"/>
          <w:szCs w:val="26"/>
        </w:rPr>
        <w:t xml:space="preserve">7.1  Pricing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2160"/>
        <w:gridCol w:w="2040"/>
      </w:tblGrid>
      <w:tr>
        <w:tc>
          <w:tcPr>
            <w:tcW w:type="dxa" w:w="3000"/>
            <w:tcBorders>
              <w:top w:val="single" w:color="C8D8EE" w:sz="4"/>
              <w:left w:val="single" w:color="C8D8EE" w:sz="4"/>
              <w:bottom w:val="single" w:color="C8D8EE" w:sz="4"/>
              <w:right w:val="single" w:color="C8D8EE" w:sz="4"/>
            </w:tcBorders>
            <w:shd w:fill="1A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Product</w:t>
            </w:r>
          </w:p>
        </w:tc>
        <w:tc>
          <w:tcPr>
            <w:tcW w:type="dxa" w:w="2160"/>
            <w:tcBorders>
              <w:top w:val="single" w:color="C8D8EE" w:sz="4"/>
              <w:left w:val="single" w:color="C8D8EE" w:sz="4"/>
              <w:bottom w:val="single" w:color="C8D8EE" w:sz="4"/>
              <w:right w:val="single" w:color="C8D8EE" w:sz="4"/>
            </w:tcBorders>
            <w:shd w:fill="1A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Annual License</w:t>
            </w:r>
          </w:p>
        </w:tc>
        <w:tc>
          <w:tcPr>
            <w:tcW w:type="dxa" w:w="2160"/>
            <w:tcBorders>
              <w:top w:val="single" w:color="C8D8EE" w:sz="4"/>
              <w:left w:val="single" w:color="C8D8EE" w:sz="4"/>
              <w:bottom w:val="single" w:color="C8D8EE" w:sz="4"/>
              <w:right w:val="single" w:color="C8D8EE" w:sz="4"/>
            </w:tcBorders>
            <w:shd w:fill="1A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Included Nodes</w:t>
            </w:r>
          </w:p>
        </w:tc>
        <w:tc>
          <w:tcPr>
            <w:tcW w:type="dxa" w:w="2040"/>
            <w:tcBorders>
              <w:top w:val="single" w:color="C8D8EE" w:sz="4"/>
              <w:left w:val="single" w:color="C8D8EE" w:sz="4"/>
              <w:bottom w:val="single" w:color="C8D8EE" w:sz="4"/>
              <w:right w:val="single" w:color="C8D8EE" w:sz="4"/>
            </w:tcBorders>
            <w:shd w:fill="1A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Extra Node/year</w:t>
            </w:r>
          </w:p>
        </w:tc>
      </w:tr>
      <w:tr>
        <w:tc>
          <w:tcPr>
            <w:tcW w:type="dxa" w:w="3000"/>
            <w:tcBorders>
              <w:top w:val="single" w:color="C8D8EE" w:sz="4"/>
              <w:left w:val="single" w:color="C8D8EE" w:sz="4"/>
              <w:bottom w:val="single" w:color="C8D8EE" w:sz="4"/>
              <w:right w:val="single" w:color="C8D8EE"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Ethana Edge</w:t>
            </w:r>
          </w:p>
        </w:tc>
        <w:tc>
          <w:tcPr>
            <w:tcW w:type="dxa" w:w="2160"/>
            <w:tcBorders>
              <w:top w:val="single" w:color="C8D8EE" w:sz="4"/>
              <w:left w:val="single" w:color="C8D8EE" w:sz="4"/>
              <w:bottom w:val="single" w:color="C8D8EE" w:sz="4"/>
              <w:right w:val="single" w:color="C8D8EE" w:sz="4"/>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$10,000</w:t>
            </w:r>
          </w:p>
        </w:tc>
        <w:tc>
          <w:tcPr>
            <w:tcW w:type="dxa" w:w="2160"/>
            <w:tcBorders>
              <w:top w:val="single" w:color="C8D8EE" w:sz="4"/>
              <w:left w:val="single" w:color="C8D8EE" w:sz="4"/>
              <w:bottom w:val="single" w:color="C8D8EE" w:sz="4"/>
              <w:right w:val="single" w:color="C8D8EE" w:sz="4"/>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1</w:t>
            </w:r>
          </w:p>
        </w:tc>
        <w:tc>
          <w:tcPr>
            <w:tcW w:type="dxa" w:w="2040"/>
            <w:tcBorders>
              <w:top w:val="single" w:color="C8D8EE" w:sz="4"/>
              <w:left w:val="single" w:color="C8D8EE" w:sz="4"/>
              <w:bottom w:val="single" w:color="C8D8EE" w:sz="4"/>
              <w:right w:val="single" w:color="C8D8EE" w:sz="4"/>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$2,000</w:t>
            </w:r>
          </w:p>
        </w:tc>
      </w:tr>
      <w:tr>
        <w:tc>
          <w:tcPr>
            <w:tcW w:type="dxa" w:w="3000"/>
            <w:tcBorders>
              <w:top w:val="single" w:color="C8D8EE" w:sz="4"/>
              <w:left w:val="single" w:color="C8D8EE" w:sz="4"/>
              <w:bottom w:val="single" w:color="C8D8EE" w:sz="4"/>
              <w:right w:val="single" w:color="C8D8EE"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Ethana Workspace</w:t>
            </w:r>
          </w:p>
        </w:tc>
        <w:tc>
          <w:tcPr>
            <w:tcW w:type="dxa" w:w="2160"/>
            <w:tcBorders>
              <w:top w:val="single" w:color="C8D8EE" w:sz="4"/>
              <w:left w:val="single" w:color="C8D8EE" w:sz="4"/>
              <w:bottom w:val="single" w:color="C8D8EE" w:sz="4"/>
              <w:right w:val="single" w:color="C8D8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$10,000</w:t>
            </w:r>
          </w:p>
        </w:tc>
        <w:tc>
          <w:tcPr>
            <w:tcW w:type="dxa" w:w="2160"/>
            <w:tcBorders>
              <w:top w:val="single" w:color="C8D8EE" w:sz="4"/>
              <w:left w:val="single" w:color="C8D8EE" w:sz="4"/>
              <w:bottom w:val="single" w:color="C8D8EE" w:sz="4"/>
              <w:right w:val="single" w:color="C8D8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1</w:t>
            </w:r>
          </w:p>
        </w:tc>
        <w:tc>
          <w:tcPr>
            <w:tcW w:type="dxa" w:w="2040"/>
            <w:tcBorders>
              <w:top w:val="single" w:color="C8D8EE" w:sz="4"/>
              <w:left w:val="single" w:color="C8D8EE" w:sz="4"/>
              <w:bottom w:val="single" w:color="C8D8EE" w:sz="4"/>
              <w:right w:val="single" w:color="C8D8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$2,000</w:t>
            </w:r>
          </w:p>
        </w:tc>
      </w:tr>
      <w:tr>
        <w:tc>
          <w:tcPr>
            <w:tcW w:type="dxa" w:w="3000"/>
            <w:tcBorders>
              <w:top w:val="single" w:color="C8D8EE" w:sz="4"/>
              <w:left w:val="single" w:color="C8D8EE" w:sz="4"/>
              <w:bottom w:val="single" w:color="C8D8EE" w:sz="4"/>
              <w:right w:val="single" w:color="C8D8EE"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Ethana Build</w:t>
            </w:r>
          </w:p>
        </w:tc>
        <w:tc>
          <w:tcPr>
            <w:tcW w:type="dxa" w:w="2160"/>
            <w:tcBorders>
              <w:top w:val="single" w:color="C8D8EE" w:sz="4"/>
              <w:left w:val="single" w:color="C8D8EE" w:sz="4"/>
              <w:bottom w:val="single" w:color="C8D8EE" w:sz="4"/>
              <w:right w:val="single" w:color="C8D8EE" w:sz="4"/>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$30,000</w:t>
            </w:r>
          </w:p>
        </w:tc>
        <w:tc>
          <w:tcPr>
            <w:tcW w:type="dxa" w:w="2160"/>
            <w:tcBorders>
              <w:top w:val="single" w:color="C8D8EE" w:sz="4"/>
              <w:left w:val="single" w:color="C8D8EE" w:sz="4"/>
              <w:bottom w:val="single" w:color="C8D8EE" w:sz="4"/>
              <w:right w:val="single" w:color="C8D8EE" w:sz="4"/>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1</w:t>
            </w:r>
          </w:p>
        </w:tc>
        <w:tc>
          <w:tcPr>
            <w:tcW w:type="dxa" w:w="2040"/>
            <w:tcBorders>
              <w:top w:val="single" w:color="C8D8EE" w:sz="4"/>
              <w:left w:val="single" w:color="C8D8EE" w:sz="4"/>
              <w:bottom w:val="single" w:color="C8D8EE" w:sz="4"/>
              <w:right w:val="single" w:color="C8D8EE" w:sz="4"/>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$5,000</w:t>
            </w:r>
          </w:p>
        </w:tc>
      </w:tr>
      <w:tr>
        <w:tc>
          <w:tcPr>
            <w:tcW w:type="dxa" w:w="3000"/>
            <w:tcBorders>
              <w:top w:val="single" w:color="C8D8EE" w:sz="4"/>
              <w:left w:val="single" w:color="C8D8EE" w:sz="4"/>
              <w:bottom w:val="single" w:color="C8D8EE" w:sz="4"/>
              <w:right w:val="single" w:color="C8D8EE" w:sz="4"/>
            </w:tcBorders>
            <w:shd w:fill="1A4F8A"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Enterprise AI Control Plane Bundle</w:t>
            </w:r>
          </w:p>
        </w:tc>
        <w:tc>
          <w:tcPr>
            <w:tcW w:type="dxa" w:w="2160"/>
            <w:tcBorders>
              <w:top w:val="single" w:color="C8D8EE" w:sz="4"/>
              <w:left w:val="single" w:color="C8D8EE" w:sz="4"/>
              <w:bottom w:val="single" w:color="C8D8EE" w:sz="4"/>
              <w:right w:val="single" w:color="C8D8EE" w:sz="4"/>
            </w:tcBorders>
            <w:shd w:fill="1A4F8A"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$45,000</w:t>
            </w:r>
          </w:p>
        </w:tc>
        <w:tc>
          <w:tcPr>
            <w:tcW w:type="dxa" w:w="2160"/>
            <w:tcBorders>
              <w:top w:val="single" w:color="C8D8EE" w:sz="4"/>
              <w:left w:val="single" w:color="C8D8EE" w:sz="4"/>
              <w:bottom w:val="single" w:color="C8D8EE" w:sz="4"/>
              <w:right w:val="single" w:color="C8D8EE" w:sz="4"/>
            </w:tcBorders>
            <w:shd w:fill="1A4F8A"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1 of each</w:t>
            </w:r>
          </w:p>
        </w:tc>
        <w:tc>
          <w:tcPr>
            <w:tcW w:type="dxa" w:w="2040"/>
            <w:tcBorders>
              <w:top w:val="single" w:color="C8D8EE" w:sz="4"/>
              <w:left w:val="single" w:color="C8D8EE" w:sz="4"/>
              <w:bottom w:val="single" w:color="C8D8EE" w:sz="4"/>
              <w:right w:val="single" w:color="C8D8EE" w:sz="4"/>
            </w:tcBorders>
            <w:shd w:fill="1A4F8A"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As above</w:t>
            </w:r>
          </w:p>
        </w:tc>
      </w:tr>
    </w:tbl>
    <w:p>
      <w:pPr>
        <w:spacing w:after="0" w:before="120"/>
      </w:pPr>
      <w:r>
        <w:t xml:space="preserve"/>
      </w:r>
    </w:p>
    <w:p>
      <w:pPr>
        <w:pStyle w:val="Heading2"/>
        <w:spacing w:after="120" w:before="280"/>
      </w:pPr>
      <w:r>
        <w:rPr>
          <w:rFonts w:ascii="Arial" w:cs="Arial" w:eastAsia="Arial" w:hAnsi="Arial"/>
          <w:b/>
          <w:bCs/>
          <w:color w:val="1A4F8A"/>
          <w:sz w:val="26"/>
          <w:szCs w:val="26"/>
        </w:rPr>
        <w:t xml:space="preserve">7.2  Licensing Model</w:t>
      </w:r>
    </w:p>
    <w:p>
      <w:pPr>
        <w:spacing w:after="120" w:before="80"/>
      </w:pPr>
      <w:r>
        <w:rPr>
          <w:rFonts w:ascii="Arial" w:cs="Arial" w:eastAsia="Arial" w:hAnsi="Arial"/>
          <w:color w:val="1A1A2E"/>
          <w:sz w:val="22"/>
          <w:szCs w:val="22"/>
        </w:rPr>
        <w:t xml:space="preserve">Ethana pricing is based on platform value and deployment scope, not users, seats, tokens, or API calls. This is a meaningful differentiator versus per-seat or consumption-based AI tools.</w:t>
      </w:r>
    </w:p>
    <w:p>
      <w:pPr>
        <w:spacing w:after="0" w:before="60"/>
      </w:pPr>
      <w:r>
        <w:t xml:space="preserve"/>
      </w:r>
    </w:p>
    <w:p>
      <w:pPr>
        <w:pStyle w:val="ListParagraph"/>
        <w:numPr>
          <w:ilvl w:val="0"/>
          <w:numId w:val="3"/>
        </w:numPr>
        <w:spacing w:after="40" w:before="40"/>
      </w:pPr>
      <w:r>
        <w:rPr>
          <w:rFonts w:ascii="Arial" w:cs="Arial" w:eastAsia="Arial" w:hAnsi="Arial"/>
          <w:b w:val="false"/>
          <w:bCs w:val="false"/>
          <w:color w:val="1A1A2E"/>
          <w:sz w:val="22"/>
          <w:szCs w:val="22"/>
        </w:rPr>
        <w:t xml:space="preserve">Each product includes one production node.</w:t>
      </w:r>
    </w:p>
    <w:p>
      <w:pPr>
        <w:pStyle w:val="ListParagraph"/>
        <w:numPr>
          <w:ilvl w:val="0"/>
          <w:numId w:val="3"/>
        </w:numPr>
        <w:spacing w:after="40" w:before="40"/>
      </w:pPr>
      <w:r>
        <w:rPr>
          <w:rFonts w:ascii="Arial" w:cs="Arial" w:eastAsia="Arial" w:hAnsi="Arial"/>
          <w:b w:val="false"/>
          <w:bCs w:val="false"/>
          <w:color w:val="1A1A2E"/>
          <w:sz w:val="22"/>
          <w:szCs w:val="22"/>
        </w:rPr>
        <w:t xml:space="preserve">Additional nodes are available at the per-node rates above.</w:t>
      </w:r>
    </w:p>
    <w:p>
      <w:pPr>
        <w:pStyle w:val="ListParagraph"/>
        <w:numPr>
          <w:ilvl w:val="0"/>
          <w:numId w:val="3"/>
        </w:numPr>
        <w:spacing w:after="40" w:before="40"/>
      </w:pPr>
      <w:r>
        <w:rPr>
          <w:rFonts w:ascii="Arial" w:cs="Arial" w:eastAsia="Arial" w:hAnsi="Arial"/>
          <w:b w:val="false"/>
          <w:bCs w:val="false"/>
          <w:color w:val="1A1A2E"/>
          <w:sz w:val="22"/>
          <w:szCs w:val="22"/>
        </w:rPr>
        <w:t xml:space="preserve">A node represents an independently deployed, managed, or governed instance — for example, an additional region, business unit, subsidiary, or air-gapped environment.</w:t>
      </w:r>
    </w:p>
    <w:p>
      <w:pPr>
        <w:pStyle w:val="ListParagraph"/>
        <w:numPr>
          <w:ilvl w:val="0"/>
          <w:numId w:val="3"/>
        </w:numPr>
        <w:spacing w:after="40" w:before="40"/>
      </w:pPr>
      <w:r>
        <w:rPr>
          <w:rFonts w:ascii="Arial" w:cs="Arial" w:eastAsia="Arial" w:hAnsi="Arial"/>
          <w:b w:val="false"/>
          <w:bCs w:val="false"/>
          <w:color w:val="1A1A2E"/>
          <w:sz w:val="22"/>
          <w:szCs w:val="22"/>
        </w:rPr>
        <w:t xml:space="preserve">Licensing is consistent across SaaS, private cloud, VPC, and on-premises deployment models.</w:t>
      </w:r>
    </w:p>
    <w:p>
      <w:pPr>
        <w:spacing w:after="0" w:before="100"/>
      </w:pPr>
      <w:r>
        <w:t xml:space="preserve"/>
      </w:r>
    </w:p>
    <w:p>
      <w:pPr>
        <w:pStyle w:val="Heading2"/>
        <w:spacing w:after="120" w:before="280"/>
      </w:pPr>
      <w:r>
        <w:rPr>
          <w:rFonts w:ascii="Arial" w:cs="Arial" w:eastAsia="Arial" w:hAnsi="Arial"/>
          <w:b/>
          <w:bCs/>
          <w:color w:val="1A4F8A"/>
          <w:sz w:val="26"/>
          <w:szCs w:val="26"/>
        </w:rPr>
        <w:t xml:space="preserve">7.3  Deployment Options</w:t>
      </w:r>
    </w:p>
    <w:p>
      <w:pPr>
        <w:pStyle w:val="ListParagraph"/>
        <w:numPr>
          <w:ilvl w:val="0"/>
          <w:numId w:val="3"/>
        </w:numPr>
        <w:spacing w:after="40" w:before="40"/>
      </w:pPr>
      <w:r>
        <w:rPr>
          <w:rFonts w:ascii="Arial" w:cs="Arial" w:eastAsia="Arial" w:hAnsi="Arial"/>
          <w:b w:val="false"/>
          <w:bCs w:val="false"/>
          <w:color w:val="1A1A2E"/>
          <w:sz w:val="22"/>
          <w:szCs w:val="22"/>
        </w:rPr>
        <w:t xml:space="preserve">SaaS</w:t>
      </w:r>
    </w:p>
    <w:p>
      <w:pPr>
        <w:pStyle w:val="ListParagraph"/>
        <w:numPr>
          <w:ilvl w:val="0"/>
          <w:numId w:val="3"/>
        </w:numPr>
        <w:spacing w:after="40" w:before="40"/>
      </w:pPr>
      <w:r>
        <w:rPr>
          <w:rFonts w:ascii="Arial" w:cs="Arial" w:eastAsia="Arial" w:hAnsi="Arial"/>
          <w:b w:val="false"/>
          <w:bCs w:val="false"/>
          <w:color w:val="1A1A2E"/>
          <w:sz w:val="22"/>
          <w:szCs w:val="22"/>
        </w:rPr>
        <w:t xml:space="preserve">Private Cloud</w:t>
      </w:r>
    </w:p>
    <w:p>
      <w:pPr>
        <w:pStyle w:val="ListParagraph"/>
        <w:numPr>
          <w:ilvl w:val="0"/>
          <w:numId w:val="3"/>
        </w:numPr>
        <w:spacing w:after="40" w:before="40"/>
      </w:pPr>
      <w:r>
        <w:rPr>
          <w:rFonts w:ascii="Arial" w:cs="Arial" w:eastAsia="Arial" w:hAnsi="Arial"/>
          <w:b w:val="false"/>
          <w:bCs w:val="false"/>
          <w:color w:val="1A1A2E"/>
          <w:sz w:val="22"/>
          <w:szCs w:val="22"/>
        </w:rPr>
        <w:t xml:space="preserve">Customer VPC</w:t>
      </w:r>
    </w:p>
    <w:p>
      <w:pPr>
        <w:pStyle w:val="ListParagraph"/>
        <w:numPr>
          <w:ilvl w:val="0"/>
          <w:numId w:val="3"/>
        </w:numPr>
        <w:spacing w:after="40" w:before="40"/>
      </w:pPr>
      <w:r>
        <w:rPr>
          <w:rFonts w:ascii="Arial" w:cs="Arial" w:eastAsia="Arial" w:hAnsi="Arial"/>
          <w:b w:val="false"/>
          <w:bCs w:val="false"/>
          <w:color w:val="1A1A2E"/>
          <w:sz w:val="22"/>
          <w:szCs w:val="22"/>
        </w:rPr>
        <w:t xml:space="preserve">On-Premises</w:t>
      </w:r>
    </w:p>
    <w:p>
      <w:pPr>
        <w:pStyle w:val="ListParagraph"/>
        <w:numPr>
          <w:ilvl w:val="0"/>
          <w:numId w:val="3"/>
        </w:numPr>
        <w:spacing w:after="40" w:before="40"/>
      </w:pPr>
      <w:r>
        <w:rPr>
          <w:rFonts w:ascii="Arial" w:cs="Arial" w:eastAsia="Arial" w:hAnsi="Arial"/>
          <w:b w:val="false"/>
          <w:bCs w:val="false"/>
          <w:color w:val="1A1A2E"/>
          <w:sz w:val="22"/>
          <w:szCs w:val="22"/>
        </w:rPr>
        <w:t xml:space="preserve">Air-Gapped Environments</w:t>
      </w:r>
    </w:p>
    <w:p>
      <w:pPr>
        <w:spacing w:after="0" w:before="60"/>
      </w:pPr>
      <w:r>
        <w:t xml:space="preserve"/>
      </w:r>
    </w:p>
    <w:p>
      <w:pPr>
        <w:spacing w:after="120" w:before="80"/>
      </w:pPr>
      <w:r>
        <w:rPr>
          <w:rFonts w:ascii="Arial" w:cs="Arial" w:eastAsia="Arial" w:hAnsi="Arial"/>
          <w:color w:val="1A1A2E"/>
          <w:sz w:val="22"/>
          <w:szCs w:val="22"/>
        </w:rPr>
        <w:t xml:space="preserve">All deployment models include software updates, security updates, feature releases, documentation access, and standard support. Premium support and professional services are available separately.</w:t>
      </w:r>
    </w:p>
    <w:p>
      <w:pPr>
        <w:pBdr>
          <w:bottom w:val="single" w:color="C8D8EE" w:sz="4" w:space="1"/>
        </w:pBdr>
        <w:spacing w:after="160" w:before="160"/>
      </w:pPr>
      <w:r>
        <w:t xml:space="preserve"/>
      </w:r>
    </w:p>
    <w:p>
      <w:pPr>
        <w:pStyle w:val="Heading1"/>
        <w:pBdr>
          <w:bottom w:val="single" w:color="1E8FD5" w:sz="8" w:space="6"/>
        </w:pBdr>
        <w:spacing w:after="160" w:before="360"/>
      </w:pPr>
      <w:r>
        <w:rPr>
          <w:rFonts w:ascii="Arial" w:cs="Arial" w:eastAsia="Arial" w:hAnsi="Arial"/>
          <w:b/>
          <w:bCs/>
          <w:color w:val="0F2B4C"/>
          <w:sz w:val="36"/>
          <w:szCs w:val="36"/>
        </w:rPr>
        <w:t xml:space="preserve">8. Outbound Email Plays</w:t>
      </w:r>
    </w:p>
    <w:p>
      <w:pPr>
        <w:spacing w:after="120" w:before="80"/>
      </w:pPr>
      <w:r>
        <w:rPr>
          <w:rFonts w:ascii="Arial" w:cs="Arial" w:eastAsia="Arial" w:hAnsi="Arial"/>
          <w:color w:val="1A1A2E"/>
          <w:sz w:val="22"/>
          <w:szCs w:val="22"/>
        </w:rPr>
        <w:t xml:space="preserve">The following email frameworks have been validated for outbound prospecting. Each is built around a specific industry context and regulatory hook. Personalize the opening questions to the prospect's organization before sending.</w:t>
      </w:r>
    </w:p>
    <w:p>
      <w:pPr>
        <w:spacing w:after="0" w:before="80"/>
      </w:pPr>
      <w:r>
        <w:t xml:space="preserve"/>
      </w:r>
    </w:p>
    <w:p>
      <w:pPr>
        <w:pStyle w:val="Heading2"/>
        <w:spacing w:after="120" w:before="280"/>
      </w:pPr>
      <w:r>
        <w:rPr>
          <w:rFonts w:ascii="Arial" w:cs="Arial" w:eastAsia="Arial" w:hAnsi="Arial"/>
          <w:b/>
          <w:bCs/>
          <w:color w:val="1A4F8A"/>
          <w:sz w:val="26"/>
          <w:szCs w:val="26"/>
        </w:rPr>
        <w:t xml:space="preserve">8.1  BFSI — Regulatory Inspection Readiness</w:t>
      </w:r>
    </w:p>
    <w:p>
      <w:pPr>
        <w:spacing w:after="120" w:before="80"/>
      </w:pPr>
      <w:r>
        <w:rPr>
          <w:rFonts w:ascii="Arial" w:cs="Arial" w:eastAsia="Arial" w:hAnsi="Arial"/>
          <w:b/>
          <w:bCs/>
          <w:sz w:val="22"/>
          <w:szCs w:val="22"/>
        </w:rPr>
        <w:t xml:space="preserve">Subject line: </w:t>
      </w:r>
      <w:r>
        <w:rPr>
          <w:rFonts w:ascii="Arial" w:cs="Arial" w:eastAsia="Arial" w:hAnsi="Arial"/>
          <w:color w:val="1A1A2E"/>
          <w:sz w:val="22"/>
          <w:szCs w:val="22"/>
        </w:rPr>
        <w:t xml:space="preserve">Before your next regulatory inspection</w:t>
      </w:r>
    </w:p>
    <w:p>
      <w:pPr>
        <w:spacing w:after="120" w:before="80"/>
      </w:pPr>
      <w:r>
        <w:rPr>
          <w:rFonts w:ascii="Arial" w:cs="Arial" w:eastAsia="Arial" w:hAnsi="Arial"/>
          <w:b/>
          <w:bCs/>
          <w:sz w:val="22"/>
          <w:szCs w:val="22"/>
        </w:rPr>
        <w:t xml:space="preserve">Hook: </w:t>
      </w:r>
      <w:r>
        <w:rPr>
          <w:rFonts w:ascii="Arial" w:cs="Arial" w:eastAsia="Arial" w:hAnsi="Arial"/>
          <w:color w:val="1A1A2E"/>
          <w:sz w:val="22"/>
          <w:szCs w:val="22"/>
        </w:rPr>
        <w:t xml:space="preserve">Opens with four diagnostic questions about AI tool inventory, developer tool audit trails, and the ability to produce an AI usage register for regulators. Positions Ethana Edge as the visibility layer that answers questions most CISOs currently cannot.</w:t>
      </w:r>
    </w:p>
    <w:p>
      <w:pPr>
        <w:spacing w:after="120" w:before="80"/>
      </w:pPr>
      <w:r>
        <w:rPr>
          <w:rFonts w:ascii="Arial" w:cs="Arial" w:eastAsia="Arial" w:hAnsi="Arial"/>
          <w:b/>
          <w:bCs/>
          <w:sz w:val="22"/>
          <w:szCs w:val="22"/>
        </w:rPr>
        <w:t xml:space="preserve">CTA: </w:t>
      </w:r>
      <w:r>
        <w:rPr>
          <w:rFonts w:ascii="Arial" w:cs="Arial" w:eastAsia="Arial" w:hAnsi="Arial"/>
          <w:color w:val="1A1A2E"/>
          <w:sz w:val="22"/>
          <w:szCs w:val="22"/>
        </w:rPr>
        <w:t xml:space="preserve">25-minute call to walk through what we are seeing across Indian BFSI, with a live demo.</w:t>
      </w:r>
    </w:p>
    <w:p>
      <w:pPr>
        <w:spacing w:after="0" w:before="60"/>
      </w:pPr>
      <w:r>
        <w:t xml:space="preserve"/>
      </w:r>
    </w:p>
    <w:p>
      <w:pPr>
        <w:pStyle w:val="Heading2"/>
        <w:spacing w:after="120" w:before="280"/>
      </w:pPr>
      <w:r>
        <w:rPr>
          <w:rFonts w:ascii="Arial" w:cs="Arial" w:eastAsia="Arial" w:hAnsi="Arial"/>
          <w:b/>
          <w:bCs/>
          <w:color w:val="1A4F8A"/>
          <w:sz w:val="26"/>
          <w:szCs w:val="26"/>
        </w:rPr>
        <w:t xml:space="preserve">8.2  Insurance — IRDAI Inspection</w:t>
      </w:r>
    </w:p>
    <w:p>
      <w:pPr>
        <w:spacing w:after="120" w:before="80"/>
      </w:pPr>
      <w:r>
        <w:rPr>
          <w:rFonts w:ascii="Arial" w:cs="Arial" w:eastAsia="Arial" w:hAnsi="Arial"/>
          <w:b/>
          <w:bCs/>
          <w:sz w:val="22"/>
          <w:szCs w:val="22"/>
        </w:rPr>
        <w:t xml:space="preserve">Subject line: </w:t>
      </w:r>
      <w:r>
        <w:rPr>
          <w:rFonts w:ascii="Arial" w:cs="Arial" w:eastAsia="Arial" w:hAnsi="Arial"/>
          <w:color w:val="1A1A2E"/>
          <w:sz w:val="22"/>
          <w:szCs w:val="22"/>
        </w:rPr>
        <w:t xml:space="preserve">Before your next IRDAI inspection</w:t>
      </w:r>
    </w:p>
    <w:p>
      <w:pPr>
        <w:spacing w:after="120" w:before="80"/>
      </w:pPr>
      <w:r>
        <w:rPr>
          <w:rFonts w:ascii="Arial" w:cs="Arial" w:eastAsia="Arial" w:hAnsi="Arial"/>
          <w:b/>
          <w:bCs/>
          <w:sz w:val="22"/>
          <w:szCs w:val="22"/>
        </w:rPr>
        <w:t xml:space="preserve">Hook: </w:t>
      </w:r>
      <w:r>
        <w:rPr>
          <w:rFonts w:ascii="Arial" w:cs="Arial" w:eastAsia="Arial" w:hAnsi="Arial"/>
          <w:color w:val="1A1A2E"/>
          <w:sz w:val="22"/>
          <w:szCs w:val="22"/>
        </w:rPr>
        <w:t xml:space="preserve">Tailored to insurance-specific context: visibility into which AI tools handle policy documents, claims data, and underwriting materials; audit trail readiness for IRDAI. References IRDAI Information &amp; Cybersecurity Guidelines and IRDAI Master Circular on Operational Resilience.</w:t>
      </w:r>
    </w:p>
    <w:p>
      <w:pPr>
        <w:spacing w:after="120" w:before="80"/>
      </w:pPr>
      <w:r>
        <w:rPr>
          <w:rFonts w:ascii="Arial" w:cs="Arial" w:eastAsia="Arial" w:hAnsi="Arial"/>
          <w:b/>
          <w:bCs/>
          <w:sz w:val="22"/>
          <w:szCs w:val="22"/>
        </w:rPr>
        <w:t xml:space="preserve">CTA: </w:t>
      </w:r>
      <w:r>
        <w:rPr>
          <w:rFonts w:ascii="Arial" w:cs="Arial" w:eastAsia="Arial" w:hAnsi="Arial"/>
          <w:color w:val="1A1A2E"/>
          <w:sz w:val="22"/>
          <w:szCs w:val="22"/>
        </w:rPr>
        <w:t xml:space="preserve">25-minute call focused on Indian insurance context.</w:t>
      </w:r>
    </w:p>
    <w:p>
      <w:pPr>
        <w:spacing w:after="0" w:before="60"/>
      </w:pPr>
      <w:r>
        <w:t xml:space="preserve"/>
      </w:r>
    </w:p>
    <w:p>
      <w:pPr>
        <w:pStyle w:val="Heading2"/>
        <w:spacing w:after="120" w:before="280"/>
      </w:pPr>
      <w:r>
        <w:rPr>
          <w:rFonts w:ascii="Arial" w:cs="Arial" w:eastAsia="Arial" w:hAnsi="Arial"/>
          <w:b/>
          <w:bCs/>
          <w:color w:val="1A4F8A"/>
          <w:sz w:val="26"/>
          <w:szCs w:val="26"/>
        </w:rPr>
        <w:t xml:space="preserve">8.3  IT Services / ITeS — Client MSA Compliance</w:t>
      </w:r>
    </w:p>
    <w:p>
      <w:pPr>
        <w:spacing w:after="120" w:before="80"/>
      </w:pPr>
      <w:r>
        <w:rPr>
          <w:rFonts w:ascii="Arial" w:cs="Arial" w:eastAsia="Arial" w:hAnsi="Arial"/>
          <w:b/>
          <w:bCs/>
          <w:sz w:val="22"/>
          <w:szCs w:val="22"/>
        </w:rPr>
        <w:t xml:space="preserve">Subject line: </w:t>
      </w:r>
      <w:r>
        <w:rPr>
          <w:rFonts w:ascii="Arial" w:cs="Arial" w:eastAsia="Arial" w:hAnsi="Arial"/>
          <w:color w:val="1A1A2E"/>
          <w:sz w:val="22"/>
          <w:szCs w:val="22"/>
        </w:rPr>
        <w:t xml:space="preserve">Your developers, Cursor, and your client's MSA</w:t>
      </w:r>
    </w:p>
    <w:p>
      <w:pPr>
        <w:spacing w:after="120" w:before="80"/>
      </w:pPr>
      <w:r>
        <w:rPr>
          <w:rFonts w:ascii="Arial" w:cs="Arial" w:eastAsia="Arial" w:hAnsi="Arial"/>
          <w:b/>
          <w:bCs/>
          <w:sz w:val="22"/>
          <w:szCs w:val="22"/>
        </w:rPr>
        <w:t xml:space="preserve">Hook: </w:t>
      </w:r>
      <w:r>
        <w:rPr>
          <w:rFonts w:ascii="Arial" w:cs="Arial" w:eastAsia="Arial" w:hAnsi="Arial"/>
          <w:color w:val="1A1A2E"/>
          <w:sz w:val="22"/>
          <w:szCs w:val="22"/>
        </w:rPr>
        <w:t xml:space="preserve">Focuses on the conflict between developer AI tool adoption (Cursor, Copilot, Claude Code) and client data confidentiality clauses in MSAs. Highlights per-engagement isolation, AI audit logs scoped to client engagements, and the ability to produce an audit trail for any client's CISO.</w:t>
      </w:r>
    </w:p>
    <w:p>
      <w:pPr>
        <w:spacing w:after="120" w:before="80"/>
      </w:pPr>
      <w:r>
        <w:rPr>
          <w:rFonts w:ascii="Arial" w:cs="Arial" w:eastAsia="Arial" w:hAnsi="Arial"/>
          <w:b/>
          <w:bCs/>
          <w:sz w:val="22"/>
          <w:szCs w:val="22"/>
        </w:rPr>
        <w:t xml:space="preserve">CTA: </w:t>
      </w:r>
      <w:r>
        <w:rPr>
          <w:rFonts w:ascii="Arial" w:cs="Arial" w:eastAsia="Arial" w:hAnsi="Arial"/>
          <w:color w:val="1A1A2E"/>
          <w:sz w:val="22"/>
          <w:szCs w:val="22"/>
        </w:rPr>
        <w:t xml:space="preserve">25-minute call with live demo of per-client scoping on a Cursor session.</w:t>
      </w:r>
    </w:p>
    <w:p>
      <w:pPr>
        <w:spacing w:after="0" w:before="60"/>
      </w:pPr>
      <w:r>
        <w:t xml:space="preserve"/>
      </w:r>
    </w:p>
    <w:p>
      <w:pPr>
        <w:pStyle w:val="Heading2"/>
        <w:spacing w:after="120" w:before="280"/>
      </w:pPr>
      <w:r>
        <w:rPr>
          <w:rFonts w:ascii="Arial" w:cs="Arial" w:eastAsia="Arial" w:hAnsi="Arial"/>
          <w:b/>
          <w:bCs/>
          <w:color w:val="1A4F8A"/>
          <w:sz w:val="26"/>
          <w:szCs w:val="26"/>
        </w:rPr>
        <w:t xml:space="preserve">8.4  Email Principles</w:t>
      </w:r>
    </w:p>
    <w:p>
      <w:pPr>
        <w:pStyle w:val="ListParagraph"/>
        <w:numPr>
          <w:ilvl w:val="0"/>
          <w:numId w:val="3"/>
        </w:numPr>
        <w:spacing w:after="40" w:before="40"/>
      </w:pPr>
      <w:r>
        <w:rPr>
          <w:rFonts w:ascii="Arial" w:cs="Arial" w:eastAsia="Arial" w:hAnsi="Arial"/>
          <w:b w:val="false"/>
          <w:bCs w:val="false"/>
          <w:color w:val="1A1A2E"/>
          <w:sz w:val="22"/>
          <w:szCs w:val="22"/>
        </w:rPr>
        <w:t xml:space="preserve">Open with honest diagnostic questions specific to the prospect's industry — not a product description.</w:t>
      </w:r>
    </w:p>
    <w:p>
      <w:pPr>
        <w:pStyle w:val="ListParagraph"/>
        <w:numPr>
          <w:ilvl w:val="0"/>
          <w:numId w:val="3"/>
        </w:numPr>
        <w:spacing w:after="40" w:before="40"/>
      </w:pPr>
      <w:r>
        <w:rPr>
          <w:rFonts w:ascii="Arial" w:cs="Arial" w:eastAsia="Arial" w:hAnsi="Arial"/>
          <w:b w:val="false"/>
          <w:bCs w:val="false"/>
          <w:color w:val="1A1A2E"/>
          <w:sz w:val="22"/>
          <w:szCs w:val="22"/>
        </w:rPr>
        <w:t xml:space="preserve">Name the real tools employees are using (ChatGPT, Cursor, Copilot, Claude Code) rather than generic references to 'AI tools'.</w:t>
      </w:r>
    </w:p>
    <w:p>
      <w:pPr>
        <w:pStyle w:val="ListParagraph"/>
        <w:numPr>
          <w:ilvl w:val="0"/>
          <w:numId w:val="3"/>
        </w:numPr>
        <w:spacing w:after="40" w:before="40"/>
      </w:pPr>
      <w:r>
        <w:rPr>
          <w:rFonts w:ascii="Arial" w:cs="Arial" w:eastAsia="Arial" w:hAnsi="Arial"/>
          <w:b w:val="false"/>
          <w:bCs w:val="false"/>
          <w:color w:val="1A1A2E"/>
          <w:sz w:val="22"/>
          <w:szCs w:val="22"/>
        </w:rPr>
        <w:t xml:space="preserve">State the deployment model early — deployed inside your DC, VPC, or air-gapped. This immediately differentiates from SaaS-only vendors.</w:t>
      </w:r>
    </w:p>
    <w:p>
      <w:pPr>
        <w:pStyle w:val="ListParagraph"/>
        <w:numPr>
          <w:ilvl w:val="0"/>
          <w:numId w:val="3"/>
        </w:numPr>
        <w:spacing w:after="40" w:before="40"/>
      </w:pPr>
      <w:r>
        <w:rPr>
          <w:rFonts w:ascii="Arial" w:cs="Arial" w:eastAsia="Arial" w:hAnsi="Arial"/>
          <w:b w:val="false"/>
          <w:bCs w:val="false"/>
          <w:color w:val="1A1A2E"/>
          <w:sz w:val="22"/>
          <w:szCs w:val="22"/>
        </w:rPr>
        <w:t xml:space="preserve">One ask only: a 25-minute conversation. Not a demo, not a trial, not a proposal.</w:t>
      </w:r>
    </w:p>
    <w:p>
      <w:pPr>
        <w:pStyle w:val="ListParagraph"/>
        <w:numPr>
          <w:ilvl w:val="0"/>
          <w:numId w:val="3"/>
        </w:numPr>
        <w:spacing w:after="40" w:before="40"/>
      </w:pPr>
      <w:r>
        <w:rPr>
          <w:rFonts w:ascii="Arial" w:cs="Arial" w:eastAsia="Arial" w:hAnsi="Arial"/>
          <w:b w:val="false"/>
          <w:bCs w:val="false"/>
          <w:color w:val="1A1A2E"/>
          <w:sz w:val="22"/>
          <w:szCs w:val="22"/>
        </w:rPr>
        <w:t xml:space="preserve">Close with three specific time slots and a direct instruction to reply with a preference.</w:t>
      </w:r>
    </w:p>
    <w:p>
      <w:pPr>
        <w:pStyle w:val="ListParagraph"/>
        <w:numPr>
          <w:ilvl w:val="0"/>
          <w:numId w:val="3"/>
        </w:numPr>
        <w:spacing w:after="40" w:before="40"/>
      </w:pPr>
      <w:r>
        <w:rPr>
          <w:rFonts w:ascii="Arial" w:cs="Arial" w:eastAsia="Arial" w:hAnsi="Arial"/>
          <w:b w:val="false"/>
          <w:bCs w:val="false"/>
          <w:color w:val="1A1A2E"/>
          <w:sz w:val="22"/>
          <w:szCs w:val="22"/>
        </w:rPr>
        <w:t xml:space="preserve">Footer credentials: ISO 27001 certified, NVIDIA Inception Program, deployed with regulated customers today.</w:t>
      </w:r>
    </w:p>
    <w:p>
      <w:pPr>
        <w:pBdr>
          <w:bottom w:val="single" w:color="C8D8EE" w:sz="4" w:space="1"/>
        </w:pBdr>
        <w:spacing w:after="160" w:before="160"/>
      </w:pPr>
      <w:r>
        <w:t xml:space="preserve"/>
      </w:r>
    </w:p>
    <w:p>
      <w:pPr>
        <w:pStyle w:val="Heading1"/>
        <w:pBdr>
          <w:bottom w:val="single" w:color="1E8FD5" w:sz="8" w:space="6"/>
        </w:pBdr>
        <w:spacing w:after="160" w:before="360"/>
      </w:pPr>
      <w:r>
        <w:rPr>
          <w:rFonts w:ascii="Arial" w:cs="Arial" w:eastAsia="Arial" w:hAnsi="Arial"/>
          <w:b/>
          <w:bCs/>
          <w:color w:val="0F2B4C"/>
          <w:sz w:val="36"/>
          <w:szCs w:val="36"/>
        </w:rPr>
        <w:t xml:space="preserve">9. Writing &amp; Messaging Guidelines</w:t>
      </w:r>
    </w:p>
    <w:p>
      <w:pPr>
        <w:spacing w:after="120" w:before="80"/>
      </w:pPr>
      <w:r>
        <w:rPr>
          <w:rFonts w:ascii="Arial" w:cs="Arial" w:eastAsia="Arial" w:hAnsi="Arial"/>
          <w:color w:val="1A1A2E"/>
          <w:sz w:val="22"/>
          <w:szCs w:val="22"/>
        </w:rPr>
        <w:t xml:space="preserve">These rules apply to all marketing content, sales emails, website copy, and presentation materials.</w:t>
      </w:r>
    </w:p>
    <w:p>
      <w:pPr>
        <w:spacing w:after="0" w:before="80"/>
      </w:pPr>
      <w:r>
        <w:t xml:space="preserve"/>
      </w:r>
    </w:p>
    <w:p>
      <w:pPr>
        <w:pStyle w:val="ListParagraph"/>
        <w:numPr>
          <w:ilvl w:val="0"/>
          <w:numId w:val="3"/>
        </w:numPr>
        <w:spacing w:after="40" w:before="40"/>
      </w:pPr>
      <w:r>
        <w:rPr>
          <w:rFonts w:ascii="Arial" w:cs="Arial" w:eastAsia="Arial" w:hAnsi="Arial"/>
          <w:b w:val="false"/>
          <w:bCs w:val="false"/>
          <w:color w:val="1A1A2E"/>
          <w:sz w:val="22"/>
          <w:szCs w:val="22"/>
        </w:rPr>
        <w:t xml:space="preserve">Prioritize clarity over marketing language. Describe what the platform does and what outcomes it produces.</w:t>
      </w:r>
    </w:p>
    <w:p>
      <w:pPr>
        <w:pStyle w:val="ListParagraph"/>
        <w:numPr>
          <w:ilvl w:val="0"/>
          <w:numId w:val="3"/>
        </w:numPr>
        <w:spacing w:after="40" w:before="40"/>
      </w:pPr>
      <w:r>
        <w:rPr>
          <w:rFonts w:ascii="Arial" w:cs="Arial" w:eastAsia="Arial" w:hAnsi="Arial"/>
          <w:b w:val="false"/>
          <w:bCs w:val="false"/>
          <w:color w:val="1A1A2E"/>
          <w:sz w:val="22"/>
          <w:szCs w:val="22"/>
        </w:rPr>
        <w:t xml:space="preserve">Do not describe Ethana as only a chatbot platform, only a RAG tool, only an LLM gateway, only a compliance tool, or only an agent builder. Use the relevant product area and acknowledge the broader platform where appropriate.</w:t>
      </w:r>
    </w:p>
    <w:p>
      <w:pPr>
        <w:pStyle w:val="ListParagraph"/>
        <w:numPr>
          <w:ilvl w:val="0"/>
          <w:numId w:val="3"/>
        </w:numPr>
        <w:spacing w:after="40" w:before="40"/>
      </w:pPr>
      <w:r>
        <w:rPr>
          <w:rFonts w:ascii="Arial" w:cs="Arial" w:eastAsia="Arial" w:hAnsi="Arial"/>
          <w:b w:val="false"/>
          <w:bCs w:val="false"/>
          <w:color w:val="1A1A2E"/>
          <w:sz w:val="22"/>
          <w:szCs w:val="22"/>
        </w:rPr>
        <w:t xml:space="preserve">Avoid exaggerated claims. Use specific, verifiable capabilities and real product features.</w:t>
      </w:r>
    </w:p>
    <w:p>
      <w:pPr>
        <w:pStyle w:val="ListParagraph"/>
        <w:numPr>
          <w:ilvl w:val="0"/>
          <w:numId w:val="3"/>
        </w:numPr>
        <w:spacing w:after="40" w:before="40"/>
      </w:pPr>
      <w:r>
        <w:rPr>
          <w:rFonts w:ascii="Arial" w:cs="Arial" w:eastAsia="Arial" w:hAnsi="Arial"/>
          <w:b w:val="false"/>
          <w:bCs w:val="false"/>
          <w:color w:val="1A1A2E"/>
          <w:sz w:val="22"/>
          <w:szCs w:val="22"/>
        </w:rPr>
        <w:t xml:space="preserve">Avoid excessive use of buzzwords. Prefer precise technical language familiar to CISOs, CIOs, engineering leaders, and platform teams.</w:t>
      </w:r>
    </w:p>
    <w:p>
      <w:pPr>
        <w:pStyle w:val="ListParagraph"/>
        <w:numPr>
          <w:ilvl w:val="0"/>
          <w:numId w:val="3"/>
        </w:numPr>
        <w:spacing w:after="40" w:before="40"/>
      </w:pPr>
      <w:r>
        <w:rPr>
          <w:rFonts w:ascii="Arial" w:cs="Arial" w:eastAsia="Arial" w:hAnsi="Arial"/>
          <w:b w:val="false"/>
          <w:bCs w:val="false"/>
          <w:color w:val="1A1A2E"/>
          <w:sz w:val="22"/>
          <w:szCs w:val="22"/>
        </w:rPr>
        <w:t xml:space="preserve">Do not repeat a tagline or slogan in every sentence. One positioning statement per section is sufficient.</w:t>
      </w:r>
    </w:p>
    <w:p>
      <w:pPr>
        <w:pStyle w:val="ListParagraph"/>
        <w:numPr>
          <w:ilvl w:val="0"/>
          <w:numId w:val="3"/>
        </w:numPr>
        <w:spacing w:after="40" w:before="40"/>
      </w:pPr>
      <w:r>
        <w:rPr>
          <w:rFonts w:ascii="Arial" w:cs="Arial" w:eastAsia="Arial" w:hAnsi="Arial"/>
          <w:b w:val="false"/>
          <w:bCs w:val="false"/>
          <w:color w:val="1A1A2E"/>
          <w:sz w:val="22"/>
          <w:szCs w:val="22"/>
        </w:rPr>
        <w:t xml:space="preserve">When referencing regulatory frameworks, be specific: name the regulation, the relevant guideline, and what Ethana does that supports compliance.</w:t>
      </w:r>
    </w:p>
    <w:p>
      <w:pPr>
        <w:pStyle w:val="ListParagraph"/>
        <w:numPr>
          <w:ilvl w:val="0"/>
          <w:numId w:val="3"/>
        </w:numPr>
        <w:spacing w:after="40" w:before="40"/>
      </w:pPr>
      <w:r>
        <w:rPr>
          <w:rFonts w:ascii="Arial" w:cs="Arial" w:eastAsia="Arial" w:hAnsi="Arial"/>
          <w:b w:val="false"/>
          <w:bCs w:val="false"/>
          <w:color w:val="1A1A2E"/>
          <w:sz w:val="22"/>
          <w:szCs w:val="22"/>
        </w:rPr>
        <w:t xml:space="preserve">Use enterprise software terminology: audit logs, RBAC, observability, guardrails, PromptOps, air-gapped deployment — these are correct and appropriate.</w:t>
      </w:r>
    </w:p>
    <w:p>
      <w:pPr>
        <w:pStyle w:val="ListParagraph"/>
        <w:numPr>
          <w:ilvl w:val="0"/>
          <w:numId w:val="3"/>
        </w:numPr>
        <w:spacing w:after="40" w:before="40"/>
      </w:pPr>
      <w:r>
        <w:rPr>
          <w:rFonts w:ascii="Arial" w:cs="Arial" w:eastAsia="Arial" w:hAnsi="Arial"/>
          <w:b w:val="false"/>
          <w:bCs w:val="false"/>
          <w:color w:val="1A1A2E"/>
          <w:sz w:val="22"/>
          <w:szCs w:val="22"/>
        </w:rPr>
        <w:t xml:space="preserve">Do not use language that implies Ethana monitors employees for performance or behavior. The framing is always AI governance, data protection, and audit readiness.</w:t>
      </w:r>
    </w:p>
    <w:p>
      <w:pPr>
        <w:spacing w:after="0" w:before="120"/>
      </w:pPr>
      <w:r>
        <w:t xml:space="preserve"/>
      </w:r>
    </w:p>
    <w:p>
      <w:pPr>
        <w:spacing w:after="120" w:before="80"/>
      </w:pPr>
      <w:r>
        <w:rPr>
          <w:rFonts w:ascii="Arial" w:cs="Arial" w:eastAsia="Arial" w:hAnsi="Arial"/>
          <w:color w:val="4A4A6A"/>
          <w:sz w:val="20"/>
          <w:szCs w:val="20"/>
        </w:rPr>
        <w:t xml:space="preserve">For questions about this playbook, contact </w:t>
      </w:r>
      <w:r>
        <w:rPr>
          <w:rFonts w:ascii="Arial" w:cs="Arial" w:eastAsia="Arial" w:hAnsi="Arial"/>
          <w:b/>
          <w:bCs/>
          <w:color w:val="1A4F8A"/>
          <w:sz w:val="20"/>
          <w:szCs w:val="20"/>
        </w:rPr>
        <w:t xml:space="preserve">sales@ethana.ai</w:t>
      </w:r>
    </w:p>
    <w:p>
      <w:pPr>
        <w:spacing w:after="0" w:before="40"/>
      </w:pPr>
      <w:r>
        <w:t xml:space="preserve"/>
      </w:r>
    </w:p>
    <w:p>
      <w:pPr>
        <w:spacing w:after="120" w:before="80"/>
      </w:pPr>
      <w:r>
        <w:rPr>
          <w:rFonts w:ascii="Arial" w:cs="Arial" w:eastAsia="Arial" w:hAnsi="Arial"/>
          <w:i/>
          <w:iCs/>
          <w:color w:val="4A4A6A"/>
          <w:sz w:val="18"/>
          <w:szCs w:val="18"/>
        </w:rPr>
        <w:t xml:space="preserve">ethana.ai  ·  ISO 27001 Certified  ·  NVIDIA Inception Program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8EE" w:sz="6" w:space="4"/>
      </w:pBdr>
      <w:tabs>
        <w:tab w:val="right" w:pos="9026"/>
      </w:tabs>
      <w:spacing w:after="0" w:before="80"/>
    </w:pPr>
    <w:r>
      <w:rPr>
        <w:rFonts w:ascii="Arial" w:cs="Arial" w:eastAsia="Arial" w:hAnsi="Arial"/>
        <w:color w:val="4A4A6A"/>
        <w:sz w:val="18"/>
        <w:szCs w:val="18"/>
      </w:rPr>
      <w:t xml:space="preserve">ethana.ai  ·  sales@ethana.ai</w:t>
    </w:r>
    <w:r>
      <w:rPr>
        <w:rFonts w:ascii="Arial" w:cs="Arial" w:eastAsia="Arial" w:hAnsi="Arial"/>
        <w:sz w:val="18"/>
        <w:szCs w:val="18"/>
      </w:rPr>
      <w:t xml:space="preserve">	</w:t>
    </w:r>
    <w:r>
      <w:rPr>
        <w:rFonts w:ascii="Arial" w:cs="Arial" w:eastAsia="Arial" w:hAnsi="Arial"/>
        <w:color w:val="4A4A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4F8A" w:sz="6" w:space="4"/>
      </w:pBdr>
      <w:tabs>
        <w:tab w:val="right" w:pos="9026"/>
      </w:tabs>
      <w:spacing w:after="80" w:before="0"/>
    </w:pPr>
    <w:r>
      <w:rPr>
        <w:rFonts w:ascii="Arial" w:cs="Arial" w:eastAsia="Arial" w:hAnsi="Arial"/>
        <w:color w:val="2A6BBF"/>
        <w:sz w:val="18"/>
        <w:szCs w:val="18"/>
      </w:rPr>
      <w:t xml:space="preserve">Ethana  ·  Marketing Playbook</w:t>
    </w:r>
    <w:r>
      <w:rPr>
        <w:rFonts w:ascii="Arial" w:cs="Arial" w:eastAsia="Arial" w:hAnsi="Arial"/>
        <w:i/>
        <w:iCs/>
        <w:color w:val="4A4A6A"/>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bullet"/>
      <w:lvlText w:val="–"/>
      <w:lvlJc w:val="left"/>
      <w:pPr>
        <w:ind w:left="880" w:hanging="260"/>
      </w:pPr>
    </w:lvl>
  </w:abstractNum>
  <w:abstractNum w:abstractNumId="4"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2B4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4F8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A6BB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2026-06-09T02:07:50.199Z</dcterms:created>
  <dcterms:modified xsi:type="dcterms:W3CDTF">2026-06-09T02:07:50.209Z</dcterms:modified>
</cp:coreProperties>
</file>

<file path=docProps/custom.xml><?xml version="1.0" encoding="utf-8"?>
<Properties xmlns="http://schemas.openxmlformats.org/officeDocument/2006/custom-properties" xmlns:vt="http://schemas.openxmlformats.org/officeDocument/2006/docPropsVTypes"/>
</file>