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 Lens Demo Guide</w:t>
      </w:r>
    </w:p>
    <w:p>
      <w:r>
        <w:rPr>
          <w:b w:val="0"/>
          <w:i w:val="0"/>
          <w:sz w:val="24"/>
        </w:rPr>
        <w:t>Fintech contract question answering with LangChain LangGraph and Pinecone</w:t>
      </w:r>
    </w:p>
    <w:p>
      <w:r>
        <w:rPr>
          <w:b w:val="0"/>
          <w:i w:val="0"/>
          <w:sz w:val="20"/>
        </w:rPr>
        <w:t>Presenter script and reference material  |  October 24 2026</w:t>
      </w:r>
    </w:p>
    <w:p>
      <w:r>
        <w:rPr>
          <w:b w:val="0"/>
          <w:i w:val="0"/>
        </w:rPr>
        <w:t>Use the timed script to demonstrate the working Streamlit app, then use the folder map, tool list, and 20-question reference table for discussion. The current corpus contains 30 contracts and 90 chunks; the original project target was 25 documents. The complete live 20-question evaluation remains pending.</w:t>
      </w:r>
    </w:p>
    <w:p>
      <w:pPr>
        <w:pStyle w:val="Heading1"/>
      </w:pPr>
      <w:r>
        <w:t>Demo transcript</w:t>
      </w:r>
    </w:p>
    <w:p>
      <w:r>
        <w:rPr>
          <w:b w:val="0"/>
          <w:i/>
          <w:sz w:val="20"/>
        </w:rPr>
        <w:t>Read the body text aloud. Timings are approximate; screen cues are presenter instructions. Open http://127.0.0.1:8501/ before starting. If live API latency would interrupt the demo, use a clearly labelled recorded run.</w:t>
      </w:r>
    </w:p>
    <w:p>
      <w:pPr>
        <w:pStyle w:val="Heading2"/>
      </w:pPr>
      <w:r>
        <w:t>1 Introduce the project</w:t>
      </w:r>
    </w:p>
    <w:p>
      <w:pPr>
        <w:keepNext/>
      </w:pPr>
      <w:r>
        <w:rPr>
          <w:b/>
          <w:i w:val="0"/>
          <w:sz w:val="20"/>
        </w:rPr>
        <w:t>0:00 to 0:30</w:t>
      </w:r>
    </w:p>
    <w:p>
      <w:pPr>
        <w:keepNext/>
      </w:pPr>
      <w:r>
        <w:rPr>
          <w:b w:val="0"/>
          <w:i/>
          <w:sz w:val="20"/>
        </w:rPr>
        <w:t>Screen cue: Open Contract Lens on the Chat tab.</w:t>
      </w:r>
    </w:p>
    <w:p>
      <w:r>
        <w:rPr>
          <w:b w:val="0"/>
          <w:i w:val="0"/>
        </w:rPr>
        <w:t>This project is called Contract Lens. It is a retrieval-augmented generation, or RAG, chatbot for fintech contracts. It searches the uploaded documents, retrieves relevant passages, and generates an answer with citations.</w:t>
      </w:r>
    </w:p>
    <w:p>
      <w:r>
        <w:rPr>
          <w:b w:val="0"/>
          <w:i w:val="0"/>
        </w:rPr>
        <w:t>The original project target was 25 documents. The current verified implementation contains 30 contract PDFs, covering 90 pages.</w:t>
      </w:r>
    </w:p>
    <w:p>
      <w:pPr>
        <w:pStyle w:val="Heading2"/>
      </w:pPr>
      <w:r>
        <w:t>2 Explain the documents and setup</w:t>
      </w:r>
    </w:p>
    <w:p>
      <w:pPr>
        <w:keepNext/>
      </w:pPr>
      <w:r>
        <w:rPr>
          <w:b/>
          <w:i w:val="0"/>
          <w:sz w:val="20"/>
        </w:rPr>
        <w:t>0:30 to 1:00</w:t>
      </w:r>
    </w:p>
    <w:p>
      <w:pPr>
        <w:keepNext/>
      </w:pPr>
      <w:r>
        <w:rPr>
          <w:b w:val="0"/>
          <w:i/>
          <w:sz w:val="20"/>
        </w:rPr>
        <w:t>Screen cue: Point to the corpus count and show the project folder if needed.</w:t>
      </w:r>
    </w:p>
    <w:p>
      <w:r>
        <w:rPr>
          <w:b w:val="0"/>
          <w:i w:val="0"/>
        </w:rPr>
        <w:t>The contracts contain financed amounts, interest, financing periods, guarantees, insurance, default, termination, and jurisdiction. I will focus on Contract_1.pdf, a car financing agreement, and Contract_2.pdf, a motorcycle financing agreement.</w:t>
      </w:r>
    </w:p>
    <w:p>
      <w:r>
        <w:rPr>
          <w:b w:val="0"/>
          <w:i w:val="0"/>
        </w:rPr>
        <w:t>I built the system on Windows in a Python virtual environment. LangChain components handle splitting, embeddings, and vector-store integration. LangGraph coordinates the workflow, and Streamlit provides the chatbot interface. Credentials stay in a local server-side environment file.</w:t>
      </w:r>
    </w:p>
    <w:p>
      <w:pPr>
        <w:pStyle w:val="Heading2"/>
      </w:pPr>
      <w:r>
        <w:t>3 Explain extraction and chunking</w:t>
      </w:r>
    </w:p>
    <w:p>
      <w:pPr>
        <w:keepNext/>
      </w:pPr>
      <w:r>
        <w:rPr>
          <w:b/>
          <w:i w:val="0"/>
          <w:sz w:val="20"/>
        </w:rPr>
        <w:t>1:00 to 1:40</w:t>
      </w:r>
    </w:p>
    <w:p>
      <w:pPr>
        <w:keepNext/>
      </w:pPr>
      <w:r>
        <w:rPr>
          <w:b w:val="0"/>
          <w:i/>
          <w:sz w:val="20"/>
        </w:rPr>
        <w:t>Screen cue: Refer to the folder map on the following pages.</w:t>
      </w:r>
    </w:p>
    <w:p>
      <w:r>
        <w:rPr>
          <w:b w:val="0"/>
          <w:i w:val="0"/>
        </w:rPr>
        <w:t>First, I extracted the PDF text with pypdf and checked that it was readable. Next, I used recursive token-aware splitting with a maximum of 600 tokens and a target overlap of 100 tokens.</w:t>
      </w:r>
    </w:p>
    <w:p>
      <w:r>
        <w:rPr>
          <w:b w:val="0"/>
          <w:i w:val="0"/>
        </w:rPr>
        <w:t>The splitter prefers paragraph, line, and sentence boundaries before splitting more aggressively. Each contract and physical PDF page is processed separately, which keeps source citations precise.</w:t>
      </w:r>
    </w:p>
    <w:p>
      <w:r>
        <w:rPr>
          <w:b w:val="0"/>
          <w:i w:val="0"/>
        </w:rPr>
        <w:t>Every page in this dataset fits within the limit, so the result is 90 chunks, one per page. Overlap was configured but was not needed for these pages.</w:t>
      </w:r>
    </w:p>
    <w:p>
      <w:r>
        <w:br w:type="page"/>
      </w:r>
    </w:p>
    <w:p>
      <w:pPr>
        <w:pStyle w:val="Heading1"/>
      </w:pPr>
      <w:r>
        <w:t>Demo transcript continued</w:t>
      </w:r>
    </w:p>
    <w:p>
      <w:pPr>
        <w:pStyle w:val="Heading2"/>
      </w:pPr>
      <w:r>
        <w:t>4 Explain embeddings and cosine search</w:t>
      </w:r>
    </w:p>
    <w:p>
      <w:pPr>
        <w:keepNext/>
      </w:pPr>
      <w:r>
        <w:rPr>
          <w:b/>
          <w:i w:val="0"/>
          <w:sz w:val="20"/>
        </w:rPr>
        <w:t>1:40 to 2:20</w:t>
      </w:r>
    </w:p>
    <w:p>
      <w:pPr>
        <w:keepNext/>
      </w:pPr>
      <w:r>
        <w:rPr>
          <w:b w:val="0"/>
          <w:i/>
          <w:sz w:val="20"/>
        </w:rPr>
        <w:t>Screen cue: Point to the embedding dimensions and the Build notes tab.</w:t>
      </w:r>
    </w:p>
    <w:p>
      <w:r>
        <w:rPr>
          <w:b w:val="0"/>
          <w:i w:val="0"/>
        </w:rPr>
        <w:t>OpenAI text-embedding-3-small converts each chunk into a vector with 1,536 dimensions. Pinecone stores these vectors in the fintech-contracts index, with metadata including filename, page number, and chunk ID.</w:t>
      </w:r>
    </w:p>
    <w:p>
      <w:r>
        <w:rPr>
          <w:b w:val="0"/>
          <w:i w:val="0"/>
        </w:rPr>
        <w:t>A question is embedded with the same model. Pinecone uses cosine similarity search to find document vectors pointing in a similar direction to the question vector. Higher similarity indicates a closer embedding-space match; it does not establish that a passage answers the question correctly.</w:t>
      </w:r>
    </w:p>
    <w:p>
      <w:r>
        <w:rPr>
          <w:b w:val="0"/>
          <w:i w:val="0"/>
        </w:rPr>
        <w:t>The default retrieval budget is five passages. When a question names multiple contracts, the system searches each requested contract separately.</w:t>
      </w:r>
    </w:p>
    <w:p>
      <w:pPr>
        <w:pStyle w:val="Heading2"/>
      </w:pPr>
      <w:r>
        <w:t>5 Demonstrate ranking and cited answers</w:t>
      </w:r>
    </w:p>
    <w:p>
      <w:pPr>
        <w:keepNext/>
      </w:pPr>
      <w:r>
        <w:rPr>
          <w:b/>
          <w:i w:val="0"/>
          <w:sz w:val="20"/>
        </w:rPr>
        <w:t>2:20 to 3:20</w:t>
      </w:r>
    </w:p>
    <w:p>
      <w:pPr>
        <w:keepNext/>
      </w:pPr>
      <w:r>
        <w:rPr>
          <w:b w:val="0"/>
          <w:i/>
          <w:sz w:val="20"/>
        </w:rPr>
        <w:t>Screen cue: Ask Q11 or open the historical comparison in Saved run inspector. Expand citations and retrieval details.</w:t>
      </w:r>
    </w:p>
    <w:p>
      <w:r>
        <w:rPr>
          <w:b w:val="0"/>
          <w:i w:val="0"/>
        </w:rPr>
        <w:t>I will compare the financed amounts in Contract_1.pdf and Contract_2.pdf. The reference amounts are $82,437 and $38,384 respectively, so Contract_1 has the higher amount.</w:t>
      </w:r>
    </w:p>
    <w:p>
      <w:r>
        <w:rPr>
          <w:b w:val="0"/>
          <w:i w:val="0"/>
        </w:rPr>
        <w:t>Source labels such as S1 and S6 link to filenames, physical PDF pages, and supporting quotations. The retrieval panel shows cosine scores, source ranks, combined context positions, and cited chunks.</w:t>
      </w:r>
    </w:p>
    <w:p>
      <w:r>
        <w:rPr>
          <w:b w:val="0"/>
          <w:i w:val="0"/>
        </w:rPr>
        <w:t>Source rank is the order within an individual contract search. Combined context position is the order in the assembled context. Displayed weights are shares of positive similarity scores, not model attention or confidence percentages.</w:t>
      </w:r>
    </w:p>
    <w:p>
      <w:pPr>
        <w:pStyle w:val="Heading2"/>
      </w:pPr>
      <w:r>
        <w:t>6 Explain validation and failure handling</w:t>
      </w:r>
    </w:p>
    <w:p>
      <w:pPr>
        <w:keepNext/>
      </w:pPr>
      <w:r>
        <w:rPr>
          <w:b/>
          <w:i w:val="0"/>
          <w:sz w:val="20"/>
        </w:rPr>
        <w:t>3:20 to 4:10</w:t>
      </w:r>
    </w:p>
    <w:p>
      <w:pPr>
        <w:keepNext/>
      </w:pPr>
      <w:r>
        <w:rPr>
          <w:b w:val="0"/>
          <w:i/>
          <w:sz w:val="20"/>
        </w:rPr>
        <w:t>Screen cue: Point to citation checks and automated support review.</w:t>
      </w:r>
    </w:p>
    <w:p>
      <w:r>
        <w:rPr>
          <w:b w:val="0"/>
          <w:i w:val="0"/>
        </w:rPr>
        <w:t>The answer model is gpt-4.1-mini. It receives retrieved evidence and returns claims linked to evidence-span IDs. The application verifies the source spans and copies quotations directly from the verified text. A separate automated review checks claim support. Failed answers are withheld.</w:t>
      </w:r>
    </w:p>
    <w:p>
      <w:r>
        <w:rPr>
          <w:b w:val="0"/>
          <w:i w:val="0"/>
        </w:rPr>
        <w:t>During development, global retrieval sometimes missed a requested contract. Separate searches for named contracts addressed that failure. Another failure added an unsupported only claim about termination. This showed why an authentic quote must also support the meaning of the claim.</w:t>
      </w:r>
    </w:p>
    <w:p>
      <w:r>
        <w:br w:type="page"/>
      </w:r>
    </w:p>
    <w:p>
      <w:pPr>
        <w:pStyle w:val="Heading1"/>
      </w:pPr>
      <w:r>
        <w:t>Demo transcript continued</w:t>
      </w:r>
    </w:p>
    <w:p>
      <w:pPr>
        <w:pStyle w:val="Heading2"/>
      </w:pPr>
      <w:r>
        <w:t>7 Show the question guide</w:t>
      </w:r>
    </w:p>
    <w:p>
      <w:pPr>
        <w:keepNext/>
      </w:pPr>
      <w:r>
        <w:rPr>
          <w:b/>
          <w:i w:val="0"/>
          <w:sz w:val="20"/>
        </w:rPr>
        <w:t>4:10 to 4:45</w:t>
      </w:r>
    </w:p>
    <w:p>
      <w:pPr>
        <w:keepNext/>
      </w:pPr>
      <w:r>
        <w:rPr>
          <w:b w:val="0"/>
          <w:i/>
          <w:sz w:val="20"/>
        </w:rPr>
        <w:t>Screen cue: Open 20-question guide and expand Q17 or Q18.</w:t>
      </w:r>
    </w:p>
    <w:p>
      <w:r>
        <w:rPr>
          <w:b w:val="0"/>
          <w:i w:val="0"/>
        </w:rPr>
        <w:t>The page contains 20 guided questions with expected results and reference citations. They cover direct lookups, comparisons, ambiguous questions, unavailable information, and unsupported inferences.</w:t>
      </w:r>
    </w:p>
    <w:p>
      <w:r>
        <w:rPr>
          <w:b w:val="0"/>
          <w:i w:val="0"/>
        </w:rPr>
        <w:t>What is the repayment deadline should trigger clarification about the agreement and type of deadline. A current outstanding balance question should return insufficient evidence, because an original financed amount does not establish today's balance. Expected results remain separate from live model input.</w:t>
      </w:r>
    </w:p>
    <w:p>
      <w:pPr>
        <w:pStyle w:val="Heading2"/>
      </w:pPr>
      <w:r>
        <w:t>8 Close with evaluation</w:t>
      </w:r>
    </w:p>
    <w:p>
      <w:pPr>
        <w:keepNext/>
      </w:pPr>
      <w:r>
        <w:rPr>
          <w:b/>
          <w:i w:val="0"/>
          <w:sz w:val="20"/>
        </w:rPr>
        <w:t>4:45 to 5:00</w:t>
      </w:r>
    </w:p>
    <w:p>
      <w:pPr>
        <w:keepNext/>
      </w:pPr>
      <w:r>
        <w:rPr>
          <w:b w:val="0"/>
          <w:i/>
          <w:sz w:val="20"/>
        </w:rPr>
        <w:t>Screen cue: Show the human review controls or a saved run summary.</w:t>
      </w:r>
    </w:p>
    <w:p>
      <w:r>
        <w:rPr>
          <w:b w:val="0"/>
          <w:i w:val="0"/>
        </w:rPr>
        <w:t>The app records retrieval diagnostics, validation outcomes, timing, and token usage. I can save a human review and export the results. App tests and Pinecone connection checks have passed. The complete live 20-question evaluation and manual failure analysis remain the next step.</w:t>
      </w:r>
    </w:p>
    <w:p>
      <w:pPr>
        <w:pStyle w:val="Heading1"/>
      </w:pPr>
      <w:r>
        <w:t>Recommended demo sequence</w:t>
      </w:r>
    </w:p>
    <w:p>
      <w:r>
        <w:rPr>
          <w:b w:val="0"/>
          <w:i w:val="0"/>
        </w:rPr>
        <w:t>Q11 comparison → retrieval details → source citations → Q17 clarification → Q18 insufficient evidence → 20-question guide. Label recorded results as historical, and distinguish a live result from its reference expectation.</w:t>
      </w:r>
    </w:p>
    <w:p>
      <w:pPr>
        <w:pStyle w:val="Heading1"/>
      </w:pPr>
      <w:r>
        <w:t>Current build status</w:t>
      </w:r>
    </w:p>
    <w:p>
      <w:r>
        <w:rPr>
          <w:b w:val="0"/>
          <w:i w:val="0"/>
        </w:rPr>
        <w:t>The current answer workflow is contract_cited_answer_v5_deadline_guarded. Twenty app adapter and UI tests, 89 existing offline regressions, and 36 built-in checks passed. The app connection check verified the live Pinecone index and workflow construction with zero embedding or model calls. These checks do not establish that all 20 guided questions passed live.</w:t>
      </w:r>
    </w:p>
    <w:p>
      <w:r>
        <w:rPr>
          <w:b w:val="0"/>
          <w:i w:val="0"/>
        </w:rPr>
        <w:t>LangGraph coordinates the existing pipeline. Knowledge-graph retrieval, comparative reranking and semantic-chunking experiments remain separate future work. LangSmith is installed, but tracing is not configured or enabled in this app.</w:t>
      </w:r>
    </w:p>
    <w:p>
      <w:r>
        <w:br w:type="page"/>
      </w:r>
    </w:p>
    <w:p>
      <w:pPr>
        <w:pStyle w:val="Heading1"/>
      </w:pPr>
      <w:r>
        <w:t>Project folder structure</w:t>
      </w:r>
    </w:p>
    <w:p>
      <w:r>
        <w:rPr>
          <w:b w:val="0"/>
          <w:i w:val="0"/>
          <w:sz w:val="20"/>
        </w:rPr>
        <w:t>Project root: C:\Users\Administrator\Documents\fintech-contract-rag</w:t>
      </w:r>
    </w:p>
    <w:p>
      <w:r>
        <w:rPr>
          <w:b w:val="0"/>
          <w:i w:val="0"/>
          <w:sz w:val="20"/>
        </w:rPr>
        <w:t>The map shows the main working files. Backups and virtual-environment internals are omitted. Keep .env closed during the demo.</w:t>
      </w:r>
    </w:p>
    <w:p>
      <w:pPr>
        <w:spacing w:after="0" w:line="220" w:lineRule="exact"/>
      </w:pPr>
      <w:r>
        <w:rPr>
          <w:rFonts w:ascii="Consolas" w:hAnsi="Consolas"/>
          <w:b w:val="0"/>
          <w:i w:val="0"/>
          <w:sz w:val="18"/>
        </w:rPr>
        <w:t>fintech-contract-rag/</w:t>
      </w:r>
    </w:p>
    <w:p>
      <w:pPr>
        <w:spacing w:after="0" w:line="220" w:lineRule="exact"/>
      </w:pPr>
      <w:r>
        <w:rPr>
          <w:rFonts w:ascii="Consolas" w:hAnsi="Consolas"/>
          <w:b w:val="0"/>
          <w:i w:val="0"/>
          <w:sz w:val="18"/>
        </w:rPr>
        <w:t>|-- .venv/                       Python virtual environment</w:t>
      </w:r>
    </w:p>
    <w:p>
      <w:pPr>
        <w:spacing w:after="0" w:line="220" w:lineRule="exact"/>
      </w:pPr>
      <w:r>
        <w:rPr>
          <w:rFonts w:ascii="Consolas" w:hAnsi="Consolas"/>
          <w:b w:val="0"/>
          <w:i w:val="0"/>
          <w:sz w:val="18"/>
        </w:rPr>
        <w:t>|-- .env                         Local API credentials</w:t>
      </w:r>
    </w:p>
    <w:p>
      <w:pPr>
        <w:spacing w:after="0" w:line="220" w:lineRule="exact"/>
      </w:pPr>
      <w:r>
        <w:rPr>
          <w:rFonts w:ascii="Consolas" w:hAnsi="Consolas"/>
          <w:b w:val="0"/>
          <w:i w:val="0"/>
          <w:sz w:val="18"/>
        </w:rPr>
        <w:t>|-- data/</w:t>
      </w:r>
    </w:p>
    <w:p>
      <w:pPr>
        <w:spacing w:after="0" w:line="220" w:lineRule="exact"/>
      </w:pPr>
      <w:r>
        <w:rPr>
          <w:rFonts w:ascii="Consolas" w:hAnsi="Consolas"/>
          <w:b w:val="0"/>
          <w:i w:val="0"/>
          <w:sz w:val="18"/>
        </w:rPr>
        <w:t>|   |-- contracts/               Original contract PDFs</w:t>
      </w:r>
    </w:p>
    <w:p>
      <w:pPr>
        <w:spacing w:after="0" w:line="220" w:lineRule="exact"/>
      </w:pPr>
      <w:r>
        <w:rPr>
          <w:rFonts w:ascii="Consolas" w:hAnsi="Consolas"/>
          <w:b w:val="0"/>
          <w:i w:val="0"/>
          <w:sz w:val="18"/>
        </w:rPr>
        <w:t>|   `-- processed/</w:t>
      </w:r>
    </w:p>
    <w:p>
      <w:pPr>
        <w:spacing w:after="0" w:line="220" w:lineRule="exact"/>
      </w:pPr>
      <w:r>
        <w:rPr>
          <w:rFonts w:ascii="Consolas" w:hAnsi="Consolas"/>
          <w:b w:val="0"/>
          <w:i w:val="0"/>
          <w:sz w:val="18"/>
        </w:rPr>
        <w:t>|       |-- pages.jsonl          Extracted text and source metadata</w:t>
      </w:r>
    </w:p>
    <w:p>
      <w:pPr>
        <w:spacing w:after="0" w:line="220" w:lineRule="exact"/>
      </w:pPr>
      <w:r>
        <w:rPr>
          <w:rFonts w:ascii="Consolas" w:hAnsi="Consolas"/>
          <w:b w:val="0"/>
          <w:i w:val="0"/>
          <w:sz w:val="18"/>
        </w:rPr>
        <w:t>|       |-- Contract_*.txt       Readable extracted text</w:t>
      </w:r>
    </w:p>
    <w:p>
      <w:pPr>
        <w:spacing w:after="0" w:line="220" w:lineRule="exact"/>
      </w:pPr>
      <w:r>
        <w:rPr>
          <w:rFonts w:ascii="Consolas" w:hAnsi="Consolas"/>
          <w:b w:val="0"/>
          <w:i w:val="0"/>
          <w:sz w:val="18"/>
        </w:rPr>
        <w:t>|       |-- chunks_recursive.jsonl</w:t>
      </w:r>
    </w:p>
    <w:p>
      <w:pPr>
        <w:spacing w:after="0" w:line="220" w:lineRule="exact"/>
      </w:pPr>
      <w:r>
        <w:rPr>
          <w:rFonts w:ascii="Consolas" w:hAnsi="Consolas"/>
          <w:b w:val="0"/>
          <w:i w:val="0"/>
          <w:sz w:val="18"/>
        </w:rPr>
        <w:t>|       |-- chunks_preview.txt</w:t>
      </w:r>
    </w:p>
    <w:p>
      <w:pPr>
        <w:spacing w:after="0" w:line="220" w:lineRule="exact"/>
      </w:pPr>
      <w:r>
        <w:rPr>
          <w:rFonts w:ascii="Consolas" w:hAnsi="Consolas"/>
          <w:b w:val="0"/>
          <w:i w:val="0"/>
          <w:sz w:val="18"/>
        </w:rPr>
        <w:t>|       |-- embedding_cache/</w:t>
      </w:r>
    </w:p>
    <w:p>
      <w:pPr>
        <w:spacing w:after="0" w:line="220" w:lineRule="exact"/>
      </w:pPr>
      <w:r>
        <w:rPr>
          <w:rFonts w:ascii="Consolas" w:hAnsi="Consolas"/>
          <w:b w:val="0"/>
          <w:i w:val="0"/>
          <w:sz w:val="18"/>
        </w:rPr>
        <w:t>|       |-- retrieval_tests/</w:t>
      </w:r>
    </w:p>
    <w:p>
      <w:pPr>
        <w:spacing w:after="0" w:line="220" w:lineRule="exact"/>
      </w:pPr>
      <w:r>
        <w:rPr>
          <w:rFonts w:ascii="Consolas" w:hAnsi="Consolas"/>
          <w:b w:val="0"/>
          <w:i w:val="0"/>
          <w:sz w:val="18"/>
        </w:rPr>
        <w:t>|       |-- support_gate_tests/</w:t>
      </w:r>
    </w:p>
    <w:p>
      <w:pPr>
        <w:spacing w:after="0" w:line="220" w:lineRule="exact"/>
      </w:pPr>
      <w:r>
        <w:rPr>
          <w:rFonts w:ascii="Consolas" w:hAnsi="Consolas"/>
          <w:b w:val="0"/>
          <w:i w:val="0"/>
          <w:sz w:val="18"/>
        </w:rPr>
        <w:t>|       |-- answer_runs/         Saved answer JSON and text</w:t>
      </w:r>
    </w:p>
    <w:p>
      <w:pPr>
        <w:spacing w:after="0" w:line="220" w:lineRule="exact"/>
      </w:pPr>
      <w:r>
        <w:rPr>
          <w:rFonts w:ascii="Consolas" w:hAnsi="Consolas"/>
          <w:b w:val="0"/>
          <w:i w:val="0"/>
          <w:sz w:val="18"/>
        </w:rPr>
        <w:t>|       `-- ui_reviews/          Created when reviews are saved</w:t>
      </w:r>
    </w:p>
    <w:p>
      <w:pPr>
        <w:spacing w:after="0" w:line="220" w:lineRule="exact"/>
      </w:pPr>
      <w:r>
        <w:rPr>
          <w:rFonts w:ascii="Consolas" w:hAnsi="Consolas"/>
          <w:b w:val="0"/>
          <w:i w:val="0"/>
          <w:sz w:val="18"/>
        </w:rPr>
        <w:t>|-- reports/                     Manifests and check reports</w:t>
      </w:r>
    </w:p>
    <w:p>
      <w:pPr>
        <w:spacing w:after="0" w:line="220" w:lineRule="exact"/>
      </w:pPr>
      <w:r>
        <w:rPr>
          <w:rFonts w:ascii="Consolas" w:hAnsi="Consolas"/>
          <w:b w:val="0"/>
          <w:i w:val="0"/>
          <w:sz w:val="18"/>
        </w:rPr>
        <w:t>|-- check_connections.py</w:t>
      </w:r>
    </w:p>
    <w:p>
      <w:pPr>
        <w:spacing w:after="0" w:line="220" w:lineRule="exact"/>
      </w:pPr>
      <w:r>
        <w:rPr>
          <w:rFonts w:ascii="Consolas" w:hAnsi="Consolas"/>
          <w:b w:val="0"/>
          <w:i w:val="0"/>
          <w:sz w:val="18"/>
        </w:rPr>
        <w:t>|-- create_index.py</w:t>
      </w:r>
    </w:p>
    <w:p>
      <w:pPr>
        <w:spacing w:after="0" w:line="220" w:lineRule="exact"/>
      </w:pPr>
      <w:r>
        <w:rPr>
          <w:rFonts w:ascii="Consolas" w:hAnsi="Consolas"/>
          <w:b w:val="0"/>
          <w:i w:val="0"/>
          <w:sz w:val="18"/>
        </w:rPr>
        <w:t>|-- check_pdfs.py</w:t>
      </w:r>
    </w:p>
    <w:p>
      <w:pPr>
        <w:spacing w:after="0" w:line="220" w:lineRule="exact"/>
      </w:pPr>
      <w:r>
        <w:rPr>
          <w:rFonts w:ascii="Consolas" w:hAnsi="Consolas"/>
          <w:b w:val="0"/>
          <w:i w:val="0"/>
          <w:sz w:val="18"/>
        </w:rPr>
        <w:t>|-- chunk_contracts.py</w:t>
      </w:r>
    </w:p>
    <w:p>
      <w:pPr>
        <w:spacing w:after="0" w:line="220" w:lineRule="exact"/>
      </w:pPr>
      <w:r>
        <w:rPr>
          <w:rFonts w:ascii="Consolas" w:hAnsi="Consolas"/>
          <w:b w:val="0"/>
          <w:i w:val="0"/>
          <w:sz w:val="18"/>
        </w:rPr>
        <w:t>|-- embed_upload.py</w:t>
      </w:r>
    </w:p>
    <w:p>
      <w:pPr>
        <w:spacing w:after="0" w:line="220" w:lineRule="exact"/>
      </w:pPr>
      <w:r>
        <w:rPr>
          <w:rFonts w:ascii="Consolas" w:hAnsi="Consolas"/>
          <w:b w:val="0"/>
          <w:i w:val="0"/>
          <w:sz w:val="18"/>
        </w:rPr>
        <w:t>|-- test_retrieval.py</w:t>
      </w:r>
    </w:p>
    <w:p>
      <w:pPr>
        <w:spacing w:after="0" w:line="220" w:lineRule="exact"/>
      </w:pPr>
      <w:r>
        <w:rPr>
          <w:rFonts w:ascii="Consolas" w:hAnsi="Consolas"/>
          <w:b w:val="0"/>
          <w:i w:val="0"/>
          <w:sz w:val="18"/>
        </w:rPr>
        <w:t>|-- answer_contracts.py          Guarded LangGraph answer workflow</w:t>
      </w:r>
    </w:p>
    <w:p>
      <w:pPr>
        <w:spacing w:after="0" w:line="220" w:lineRule="exact"/>
      </w:pPr>
      <w:r>
        <w:rPr>
          <w:rFonts w:ascii="Consolas" w:hAnsi="Consolas"/>
          <w:b w:val="0"/>
          <w:i w:val="0"/>
          <w:sz w:val="18"/>
        </w:rPr>
        <w:t>|-- contract_app_backend.py      Streamlit adapter</w:t>
      </w:r>
    </w:p>
    <w:p>
      <w:pPr>
        <w:spacing w:after="0" w:line="220" w:lineRule="exact"/>
      </w:pPr>
      <w:r>
        <w:rPr>
          <w:rFonts w:ascii="Consolas" w:hAnsi="Consolas"/>
          <w:b w:val="0"/>
          <w:i w:val="0"/>
          <w:sz w:val="18"/>
        </w:rPr>
        <w:t>|-- app.py                      Chatbot webpage</w:t>
      </w:r>
    </w:p>
    <w:p>
      <w:pPr>
        <w:spacing w:after="0" w:line="220" w:lineRule="exact"/>
      </w:pPr>
      <w:r>
        <w:rPr>
          <w:rFonts w:ascii="Consolas" w:hAnsi="Consolas"/>
          <w:b w:val="0"/>
          <w:i w:val="0"/>
          <w:sz w:val="18"/>
        </w:rPr>
        <w:t>|-- question_bank.json          Questions and reference evidence</w:t>
      </w:r>
    </w:p>
    <w:p>
      <w:pPr>
        <w:spacing w:after="0" w:line="220" w:lineRule="exact"/>
      </w:pPr>
      <w:r>
        <w:rPr>
          <w:rFonts w:ascii="Consolas" w:hAnsi="Consolas"/>
          <w:b w:val="0"/>
          <w:i w:val="0"/>
          <w:sz w:val="18"/>
        </w:rPr>
        <w:t>|-- build_question_bank.py</w:t>
      </w:r>
    </w:p>
    <w:p>
      <w:pPr>
        <w:spacing w:after="0" w:line="220" w:lineRule="exact"/>
      </w:pPr>
      <w:r>
        <w:rPr>
          <w:rFonts w:ascii="Consolas" w:hAnsi="Consolas"/>
          <w:b w:val="0"/>
          <w:i w:val="0"/>
          <w:sz w:val="18"/>
        </w:rPr>
        <w:t>|-- test_streamlit_app.py</w:t>
      </w:r>
    </w:p>
    <w:p>
      <w:pPr>
        <w:spacing w:after="0" w:line="220" w:lineRule="exact"/>
      </w:pPr>
      <w:r>
        <w:rPr>
          <w:rFonts w:ascii="Consolas" w:hAnsi="Consolas"/>
          <w:b w:val="0"/>
          <w:i w:val="0"/>
          <w:sz w:val="18"/>
        </w:rPr>
        <w:t>|-- requirements-lock.txt</w:t>
      </w:r>
    </w:p>
    <w:p>
      <w:pPr>
        <w:spacing w:after="0" w:line="220" w:lineRule="exact"/>
      </w:pPr>
      <w:r>
        <w:rPr>
          <w:rFonts w:ascii="Consolas" w:hAnsi="Consolas"/>
          <w:b w:val="0"/>
          <w:i w:val="0"/>
          <w:sz w:val="18"/>
        </w:rPr>
        <w:t>|-- requirements-ui.txt</w:t>
      </w:r>
    </w:p>
    <w:p>
      <w:pPr>
        <w:spacing w:after="0" w:line="220" w:lineRule="exact"/>
      </w:pPr>
      <w:r>
        <w:rPr>
          <w:rFonts w:ascii="Consolas" w:hAnsi="Consolas"/>
          <w:b w:val="0"/>
          <w:i w:val="0"/>
          <w:sz w:val="18"/>
        </w:rPr>
        <w:t>|-- run_app.cmd</w:t>
      </w:r>
    </w:p>
    <w:p>
      <w:pPr>
        <w:spacing w:after="0" w:line="220" w:lineRule="exact"/>
      </w:pPr>
      <w:r>
        <w:rPr>
          <w:rFonts w:ascii="Consolas" w:hAnsi="Consolas"/>
          <w:b w:val="0"/>
          <w:i w:val="0"/>
          <w:sz w:val="18"/>
        </w:rPr>
        <w:t>|-- STREAMLIT_APP.md</w:t>
      </w:r>
    </w:p>
    <w:p>
      <w:pPr>
        <w:spacing w:after="0" w:line="220" w:lineRule="exact"/>
      </w:pPr>
      <w:r>
        <w:rPr>
          <w:rFonts w:ascii="Consolas" w:hAnsi="Consolas"/>
          <w:b w:val="0"/>
          <w:i w:val="0"/>
          <w:sz w:val="18"/>
        </w:rPr>
        <w:t>`-- BUILD_LOG.md</w:t>
      </w:r>
    </w:p>
    <w:p>
      <w:r>
        <w:br w:type="page"/>
      </w:r>
    </w:p>
    <w:p>
      <w:pPr>
        <w:pStyle w:val="Heading1"/>
      </w:pPr>
      <w:r>
        <w:t>Tools and retrieval reference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024"/>
        <w:gridCol w:w="7200"/>
      </w:tblGrid>
      <w:tr>
        <w:trPr>
          <w:cantSplit/>
          <w:tblHeader/>
        </w:trPr>
        <w:tc>
          <w:tcPr>
            <w:tcW w:type="dxa" w:w="3024"/>
            <w:vAlign w:val="center"/>
            <w:shd w:fill="183A53"/>
          </w:tcPr>
          <w:p>
            <w:pPr>
              <w:spacing w:after="0" w:line="252" w:lineRule="auto"/>
            </w:pPr>
            <w:r>
              <w:rPr>
                <w:rFonts w:ascii="Calibri" w:hAnsi="Calibri"/>
                <w:b/>
                <w:color w:val="FFFFFF"/>
                <w:sz w:val="20"/>
              </w:rPr>
              <w:t>Tool or component</w:t>
            </w:r>
          </w:p>
        </w:tc>
        <w:tc>
          <w:tcPr>
            <w:tcW w:type="dxa" w:w="7200"/>
            <w:vAlign w:val="center"/>
            <w:shd w:fill="183A53"/>
          </w:tcPr>
          <w:p>
            <w:pPr>
              <w:spacing w:after="0" w:line="252" w:lineRule="auto"/>
            </w:pPr>
            <w:r>
              <w:rPr>
                <w:rFonts w:ascii="Calibri" w:hAnsi="Calibri"/>
                <w:b/>
                <w:color w:val="FFFFFF"/>
                <w:sz w:val="20"/>
              </w:rPr>
              <w:t>Role in this project</w:t>
            </w:r>
          </w:p>
        </w:tc>
      </w:tr>
      <w:tr>
        <w:trPr>
          <w:cantSplit/>
        </w:trPr>
        <w:tc>
          <w:tcPr>
            <w:tcW w:type="dxa" w:w="3024"/>
            <w:vAlign w:val="center"/>
            <w:shd w:fill="F2F5F7"/>
          </w:tcPr>
          <w:p>
            <w:pPr>
              <w:spacing w:after="0" w:line="252" w:lineRule="auto"/>
            </w:pPr>
            <w:r>
              <w:rPr>
                <w:rFonts w:ascii="Calibri" w:hAnsi="Calibri"/>
                <w:sz w:val="20"/>
              </w:rPr>
              <w:t>Python 3.12.10</w:t>
            </w:r>
          </w:p>
        </w:tc>
        <w:tc>
          <w:tcPr>
            <w:tcW w:type="dxa" w:w="7200"/>
            <w:vAlign w:val="center"/>
            <w:shd w:fill="F2F5F7"/>
          </w:tcPr>
          <w:p>
            <w:pPr>
              <w:spacing w:after="0" w:line="252" w:lineRule="auto"/>
            </w:pPr>
            <w:r>
              <w:rPr>
                <w:rFonts w:ascii="Calibri" w:hAnsi="Calibri"/>
                <w:sz w:val="20"/>
              </w:rPr>
              <w:t>Current Windows project runtime inside .venv.</w:t>
            </w:r>
          </w:p>
        </w:tc>
      </w:tr>
      <w:tr>
        <w:trPr>
          <w:cantSplit/>
        </w:trPr>
        <w:tc>
          <w:tcPr>
            <w:tcW w:type="dxa" w:w="3024"/>
            <w:vAlign w:val="center"/>
            <w:shd w:fill="FFFFFF"/>
          </w:tcPr>
          <w:p>
            <w:pPr>
              <w:spacing w:after="0" w:line="252" w:lineRule="auto"/>
            </w:pPr>
            <w:r>
              <w:rPr>
                <w:rFonts w:ascii="Calibri" w:hAnsi="Calibri"/>
                <w:sz w:val="20"/>
              </w:rPr>
              <w:t>LangChain integration packages</w:t>
            </w:r>
          </w:p>
        </w:tc>
        <w:tc>
          <w:tcPr>
            <w:tcW w:type="dxa" w:w="7200"/>
            <w:vAlign w:val="center"/>
            <w:shd w:fill="FFFFFF"/>
          </w:tcPr>
          <w:p>
            <w:pPr>
              <w:spacing w:after="0" w:line="252" w:lineRule="auto"/>
            </w:pPr>
            <w:r>
              <w:rPr>
                <w:rFonts w:ascii="Calibri" w:hAnsi="Calibri"/>
                <w:sz w:val="20"/>
              </w:rPr>
              <w:t>Splitting, OpenAI embeddings and Pinecone integration.</w:t>
            </w:r>
          </w:p>
        </w:tc>
      </w:tr>
      <w:tr>
        <w:trPr>
          <w:cantSplit/>
        </w:trPr>
        <w:tc>
          <w:tcPr>
            <w:tcW w:type="dxa" w:w="3024"/>
            <w:vAlign w:val="center"/>
            <w:shd w:fill="F2F5F7"/>
          </w:tcPr>
          <w:p>
            <w:pPr>
              <w:spacing w:after="0" w:line="252" w:lineRule="auto"/>
            </w:pPr>
            <w:r>
              <w:rPr>
                <w:rFonts w:ascii="Calibri" w:hAnsi="Calibri"/>
                <w:sz w:val="20"/>
              </w:rPr>
              <w:t>LangGraph 1.2.17</w:t>
            </w:r>
          </w:p>
        </w:tc>
        <w:tc>
          <w:tcPr>
            <w:tcW w:type="dxa" w:w="7200"/>
            <w:vAlign w:val="center"/>
            <w:shd w:fill="F2F5F7"/>
          </w:tcPr>
          <w:p>
            <w:pPr>
              <w:spacing w:after="0" w:line="252" w:lineRule="auto"/>
            </w:pPr>
            <w:r>
              <w:rPr>
                <w:rFonts w:ascii="Calibri" w:hAnsi="Calibri"/>
                <w:sz w:val="20"/>
              </w:rPr>
              <w:t>Coordinates retrieval, routing, generation and validation.</w:t>
            </w:r>
          </w:p>
        </w:tc>
      </w:tr>
      <w:tr>
        <w:trPr>
          <w:cantSplit/>
        </w:trPr>
        <w:tc>
          <w:tcPr>
            <w:tcW w:type="dxa" w:w="3024"/>
            <w:vAlign w:val="center"/>
            <w:shd w:fill="FFFFFF"/>
          </w:tcPr>
          <w:p>
            <w:pPr>
              <w:spacing w:after="0" w:line="252" w:lineRule="auto"/>
            </w:pPr>
            <w:r>
              <w:rPr>
                <w:rFonts w:ascii="Calibri" w:hAnsi="Calibri"/>
                <w:sz w:val="20"/>
              </w:rPr>
              <w:t>pypdf</w:t>
            </w:r>
          </w:p>
        </w:tc>
        <w:tc>
          <w:tcPr>
            <w:tcW w:type="dxa" w:w="7200"/>
            <w:vAlign w:val="center"/>
            <w:shd w:fill="FFFFFF"/>
          </w:tcPr>
          <w:p>
            <w:pPr>
              <w:spacing w:after="0" w:line="252" w:lineRule="auto"/>
            </w:pPr>
            <w:r>
              <w:rPr>
                <w:rFonts w:ascii="Calibri" w:hAnsi="Calibri"/>
                <w:sz w:val="20"/>
              </w:rPr>
              <w:t>Extracts text from PDF pages.</w:t>
            </w:r>
          </w:p>
        </w:tc>
      </w:tr>
      <w:tr>
        <w:trPr>
          <w:cantSplit/>
        </w:trPr>
        <w:tc>
          <w:tcPr>
            <w:tcW w:type="dxa" w:w="3024"/>
            <w:vAlign w:val="center"/>
            <w:shd w:fill="F2F5F7"/>
          </w:tcPr>
          <w:p>
            <w:pPr>
              <w:spacing w:after="0" w:line="252" w:lineRule="auto"/>
            </w:pPr>
            <w:r>
              <w:rPr>
                <w:rFonts w:ascii="Calibri" w:hAnsi="Calibri"/>
                <w:sz w:val="20"/>
              </w:rPr>
              <w:t>tiktoken</w:t>
            </w:r>
          </w:p>
        </w:tc>
        <w:tc>
          <w:tcPr>
            <w:tcW w:type="dxa" w:w="7200"/>
            <w:vAlign w:val="center"/>
            <w:shd w:fill="F2F5F7"/>
          </w:tcPr>
          <w:p>
            <w:pPr>
              <w:spacing w:after="0" w:line="252" w:lineRule="auto"/>
            </w:pPr>
            <w:r>
              <w:rPr>
                <w:rFonts w:ascii="Calibri" w:hAnsi="Calibri"/>
                <w:sz w:val="20"/>
              </w:rPr>
              <w:t>Measures chunk lengths in tokens using cl100k_base.</w:t>
            </w:r>
          </w:p>
        </w:tc>
      </w:tr>
      <w:tr>
        <w:trPr>
          <w:cantSplit/>
        </w:trPr>
        <w:tc>
          <w:tcPr>
            <w:tcW w:type="dxa" w:w="3024"/>
            <w:vAlign w:val="center"/>
            <w:shd w:fill="FFFFFF"/>
          </w:tcPr>
          <w:p>
            <w:pPr>
              <w:spacing w:after="0" w:line="252" w:lineRule="auto"/>
            </w:pPr>
            <w:r>
              <w:rPr>
                <w:rFonts w:ascii="Calibri" w:hAnsi="Calibri"/>
                <w:sz w:val="20"/>
              </w:rPr>
              <w:t>text-embedding-3-small</w:t>
            </w:r>
          </w:p>
        </w:tc>
        <w:tc>
          <w:tcPr>
            <w:tcW w:type="dxa" w:w="7200"/>
            <w:vAlign w:val="center"/>
            <w:shd w:fill="FFFFFF"/>
          </w:tcPr>
          <w:p>
            <w:pPr>
              <w:spacing w:after="0" w:line="252" w:lineRule="auto"/>
            </w:pPr>
            <w:r>
              <w:rPr>
                <w:rFonts w:ascii="Calibri" w:hAnsi="Calibri"/>
                <w:sz w:val="20"/>
              </w:rPr>
              <w:t>OpenAI embedding model with 1,536 dimensions.</w:t>
            </w:r>
          </w:p>
        </w:tc>
      </w:tr>
      <w:tr>
        <w:trPr>
          <w:cantSplit/>
        </w:trPr>
        <w:tc>
          <w:tcPr>
            <w:tcW w:type="dxa" w:w="3024"/>
            <w:vAlign w:val="center"/>
            <w:shd w:fill="F2F5F7"/>
          </w:tcPr>
          <w:p>
            <w:pPr>
              <w:spacing w:after="0" w:line="252" w:lineRule="auto"/>
            </w:pPr>
            <w:r>
              <w:rPr>
                <w:rFonts w:ascii="Calibri" w:hAnsi="Calibri"/>
                <w:sz w:val="20"/>
              </w:rPr>
              <w:t>Pinecone</w:t>
            </w:r>
          </w:p>
        </w:tc>
        <w:tc>
          <w:tcPr>
            <w:tcW w:type="dxa" w:w="7200"/>
            <w:vAlign w:val="center"/>
            <w:shd w:fill="F2F5F7"/>
          </w:tcPr>
          <w:p>
            <w:pPr>
              <w:spacing w:after="0" w:line="252" w:lineRule="auto"/>
            </w:pPr>
            <w:r>
              <w:rPr>
                <w:rFonts w:ascii="Calibri" w:hAnsi="Calibri"/>
                <w:sz w:val="20"/>
              </w:rPr>
              <w:t>Vector storage and cosine similarity search.</w:t>
            </w:r>
          </w:p>
        </w:tc>
      </w:tr>
      <w:tr>
        <w:trPr>
          <w:cantSplit/>
        </w:trPr>
        <w:tc>
          <w:tcPr>
            <w:tcW w:type="dxa" w:w="3024"/>
            <w:vAlign w:val="center"/>
            <w:shd w:fill="FFFFFF"/>
          </w:tcPr>
          <w:p>
            <w:pPr>
              <w:spacing w:after="0" w:line="252" w:lineRule="auto"/>
            </w:pPr>
            <w:r>
              <w:rPr>
                <w:rFonts w:ascii="Calibri" w:hAnsi="Calibri"/>
                <w:sz w:val="20"/>
              </w:rPr>
              <w:t>gpt-4.1-mini</w:t>
            </w:r>
          </w:p>
        </w:tc>
        <w:tc>
          <w:tcPr>
            <w:tcW w:type="dxa" w:w="7200"/>
            <w:vAlign w:val="center"/>
            <w:shd w:fill="FFFFFF"/>
          </w:tcPr>
          <w:p>
            <w:pPr>
              <w:spacing w:after="0" w:line="252" w:lineRule="auto"/>
            </w:pPr>
            <w:r>
              <w:rPr>
                <w:rFonts w:ascii="Calibri" w:hAnsi="Calibri"/>
                <w:sz w:val="20"/>
              </w:rPr>
              <w:t>Question routing, answer generation and support review.</w:t>
            </w:r>
          </w:p>
        </w:tc>
      </w:tr>
      <w:tr>
        <w:trPr>
          <w:cantSplit/>
        </w:trPr>
        <w:tc>
          <w:tcPr>
            <w:tcW w:type="dxa" w:w="3024"/>
            <w:vAlign w:val="center"/>
            <w:shd w:fill="F2F5F7"/>
          </w:tcPr>
          <w:p>
            <w:pPr>
              <w:spacing w:after="0" w:line="252" w:lineRule="auto"/>
            </w:pPr>
            <w:r>
              <w:rPr>
                <w:rFonts w:ascii="Calibri" w:hAnsi="Calibri"/>
                <w:sz w:val="20"/>
              </w:rPr>
              <w:t>Streamlit 1.66.1</w:t>
            </w:r>
          </w:p>
        </w:tc>
        <w:tc>
          <w:tcPr>
            <w:tcW w:type="dxa" w:w="7200"/>
            <w:vAlign w:val="center"/>
            <w:shd w:fill="F2F5F7"/>
          </w:tcPr>
          <w:p>
            <w:pPr>
              <w:spacing w:after="0" w:line="252" w:lineRule="auto"/>
            </w:pPr>
            <w:r>
              <w:rPr>
                <w:rFonts w:ascii="Calibri" w:hAnsi="Calibri"/>
                <w:sz w:val="20"/>
              </w:rPr>
              <w:t>Chatbot, question guide and run inspection interface.</w:t>
            </w:r>
          </w:p>
        </w:tc>
      </w:tr>
      <w:tr>
        <w:trPr>
          <w:cantSplit/>
        </w:trPr>
        <w:tc>
          <w:tcPr>
            <w:tcW w:type="dxa" w:w="3024"/>
            <w:vAlign w:val="center"/>
            <w:shd w:fill="FFFFFF"/>
          </w:tcPr>
          <w:p>
            <w:pPr>
              <w:spacing w:after="0" w:line="252" w:lineRule="auto"/>
            </w:pPr>
            <w:r>
              <w:rPr>
                <w:rFonts w:ascii="Calibri" w:hAnsi="Calibri"/>
                <w:sz w:val="20"/>
              </w:rPr>
              <w:t>python-dotenv</w:t>
            </w:r>
          </w:p>
        </w:tc>
        <w:tc>
          <w:tcPr>
            <w:tcW w:type="dxa" w:w="7200"/>
            <w:vAlign w:val="center"/>
            <w:shd w:fill="FFFFFF"/>
          </w:tcPr>
          <w:p>
            <w:pPr>
              <w:spacing w:after="0" w:line="252" w:lineRule="auto"/>
            </w:pPr>
            <w:r>
              <w:rPr>
                <w:rFonts w:ascii="Calibri" w:hAnsi="Calibri"/>
                <w:sz w:val="20"/>
              </w:rPr>
              <w:t>Loads local server-side configuration.</w:t>
            </w:r>
          </w:p>
        </w:tc>
      </w:tr>
      <w:tr>
        <w:trPr>
          <w:cantSplit/>
        </w:trPr>
        <w:tc>
          <w:tcPr>
            <w:tcW w:type="dxa" w:w="3024"/>
            <w:vAlign w:val="center"/>
            <w:shd w:fill="F2F5F7"/>
          </w:tcPr>
          <w:p>
            <w:pPr>
              <w:spacing w:after="0" w:line="252" w:lineRule="auto"/>
            </w:pPr>
            <w:r>
              <w:rPr>
                <w:rFonts w:ascii="Calibri" w:hAnsi="Calibri"/>
                <w:sz w:val="20"/>
              </w:rPr>
              <w:t>LangSmith</w:t>
            </w:r>
          </w:p>
        </w:tc>
        <w:tc>
          <w:tcPr>
            <w:tcW w:type="dxa" w:w="7200"/>
            <w:vAlign w:val="center"/>
            <w:shd w:fill="F2F5F7"/>
          </w:tcPr>
          <w:p>
            <w:pPr>
              <w:spacing w:after="0" w:line="252" w:lineRule="auto"/>
            </w:pPr>
            <w:r>
              <w:rPr>
                <w:rFonts w:ascii="Calibri" w:hAnsi="Calibri"/>
                <w:sz w:val="20"/>
              </w:rPr>
              <w:t>Installed; tracing is not configured or enabled in the app.</w:t>
            </w:r>
          </w:p>
        </w:tc>
      </w:tr>
    </w:tbl>
    <w:p>
      <w:pPr>
        <w:pStyle w:val="Heading2"/>
      </w:pPr>
      <w:r>
        <w:t>Chunking and storage</w:t>
      </w:r>
    </w:p>
    <w:p>
      <w:r>
        <w:rPr>
          <w:b w:val="0"/>
          <w:i w:val="0"/>
        </w:rPr>
        <w:t>The implemented baseline uses recursive token-aware splitting: maximum 600 tokens, target overlap 100 tokens, and separate contract/page boundaries. The actual chunks range from 265 to 358 tokens, averaging 307.9. All 90 pages fit individually, so there are 90 chunks. Semantic chunking and alternative strategy comparisons have not been completed.</w:t>
      </w:r>
    </w:p>
    <w:p>
      <w:r>
        <w:rPr>
          <w:b w:val="0"/>
          <w:i w:val="0"/>
        </w:rPr>
        <w:t>Pinecone index: fintech-contracts. Metric: cosine. Dimensions: 1,536. Deployment: serverless AWS us-east-1. The namespace identifies the verified uploaded corpus; metadata preserves the connection between vectors and original sources.</w:t>
      </w:r>
    </w:p>
    <w:p>
      <w:pPr>
        <w:pStyle w:val="Heading2"/>
      </w:pPr>
      <w:r>
        <w:t>Scores ranks and citations</w:t>
      </w:r>
    </w:p>
    <w:p>
      <w:r>
        <w:rPr>
          <w:b w:val="0"/>
          <w:i w:val="0"/>
        </w:rPr>
        <w:t>Cosine similarity compares the angle between the question and document vectors: cosine(q,d) = (q · d) / (||q|| ||d||). The displayed derived weight is 100 × max(score, 0) divided by the sum of positive scores for that run; it is undefined when that sum is zero. Neither score is factual confidence or model attention.</w:t>
      </w:r>
    </w:p>
    <w:p>
      <w:r>
        <w:rPr>
          <w:b w:val="0"/>
          <w:i w:val="0"/>
        </w:rPr>
        <w:t>Source rank applies within a filtered contract search. Combined context position is the assembled order, not a global similarity ranking. R labels identify verified reference citations; S labels identify citations in an actual answer run. Exact quotation checks and automated support review remain fallible, so human review is still necessary.</w:t>
      </w:r>
    </w:p>
    <w:p>
      <w:r>
        <w:br w:type="page"/>
      </w:r>
    </w:p>
    <w:p>
      <w:pPr>
        <w:pStyle w:val="Heading1"/>
      </w:pPr>
      <w:r>
        <w:t>Twenty questions and expected results</w:t>
      </w:r>
    </w:p>
    <w:p>
      <w:r>
        <w:rPr>
          <w:b w:val="0"/>
          <w:i w:val="0"/>
        </w:rPr>
        <w:t>These are guided development cases, not a completed live benchmark. There are 16 answerable cases, 2 ambiguous cases and 2 unanswerable cases, including five comparisons across contracts. Reference expectations are never sent to the model as answer material.</w:t>
      </w:r>
    </w:p>
    <w:p>
      <w:r>
        <w:rPr>
          <w:b w:val="0"/>
          <w:i w:val="0"/>
          <w:sz w:val="20"/>
        </w:rPr>
        <w:t>C1 = Contract_1.pdf. C2 = Contract_2.pdf. All page numbers below refer to physical PDF pages. Repeated clauses may also appear on other pages; the app validates exact source spans. A dash means no factual answer citation is expected.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605"/>
        <w:gridCol w:w="3787"/>
        <w:gridCol w:w="4608"/>
        <w:gridCol w:w="1224"/>
      </w:tblGrid>
      <w:tr>
        <w:trPr>
          <w:cantSplit/>
          <w:tblHeader/>
        </w:trPr>
        <w:tc>
          <w:tcPr>
            <w:tcW w:type="dxa" w:w="605"/>
            <w:vAlign w:val="center"/>
            <w:shd w:fill="183A53"/>
          </w:tcPr>
          <w:p>
            <w:pPr>
              <w:spacing w:after="0" w:line="252" w:lineRule="auto"/>
              <w:jc w:val="center"/>
            </w:pPr>
            <w:r>
              <w:rPr>
                <w:rFonts w:ascii="Calibri" w:hAnsi="Calibri"/>
                <w:b/>
                <w:color w:val="FFFFFF"/>
                <w:sz w:val="20"/>
              </w:rPr>
              <w:t>ID</w:t>
            </w:r>
          </w:p>
        </w:tc>
        <w:tc>
          <w:tcPr>
            <w:tcW w:type="dxa" w:w="3787"/>
            <w:vAlign w:val="center"/>
            <w:shd w:fill="183A53"/>
          </w:tcPr>
          <w:p>
            <w:pPr>
              <w:spacing w:after="0" w:line="252" w:lineRule="auto"/>
            </w:pPr>
            <w:r>
              <w:rPr>
                <w:rFonts w:ascii="Calibri" w:hAnsi="Calibri"/>
                <w:b/>
                <w:color w:val="FFFFFF"/>
                <w:sz w:val="20"/>
              </w:rPr>
              <w:t>Question and scope</w:t>
            </w:r>
          </w:p>
        </w:tc>
        <w:tc>
          <w:tcPr>
            <w:tcW w:type="dxa" w:w="4608"/>
            <w:vAlign w:val="center"/>
            <w:shd w:fill="183A53"/>
          </w:tcPr>
          <w:p>
            <w:pPr>
              <w:spacing w:after="0" w:line="252" w:lineRule="auto"/>
            </w:pPr>
            <w:r>
              <w:rPr>
                <w:rFonts w:ascii="Calibri" w:hAnsi="Calibri"/>
                <w:b/>
                <w:color w:val="FFFFFF"/>
                <w:sz w:val="20"/>
              </w:rPr>
              <w:t>Expected result</w:t>
            </w:r>
          </w:p>
        </w:tc>
        <w:tc>
          <w:tcPr>
            <w:tcW w:type="dxa" w:w="1224"/>
            <w:vAlign w:val="center"/>
            <w:shd w:fill="183A53"/>
          </w:tcPr>
          <w:p>
            <w:pPr>
              <w:spacing w:after="0" w:line="252" w:lineRule="auto"/>
              <w:jc w:val="center"/>
            </w:pPr>
            <w:r>
              <w:rPr>
                <w:rFonts w:ascii="Calibri" w:hAnsi="Calibri"/>
                <w:b/>
                <w:color w:val="FFFFFF"/>
                <w:sz w:val="20"/>
              </w:rPr>
              <w:t>Source</w:t>
            </w:r>
          </w:p>
        </w:tc>
      </w:tr>
      <w:tr>
        <w:trPr>
          <w:cantSplit/>
        </w:trPr>
        <w:tc>
          <w:tcPr>
            <w:tcW w:type="dxa" w:w="605"/>
            <w:vAlign w:val="center"/>
            <w:shd w:fill="F2F5F7"/>
          </w:tcPr>
          <w:p>
            <w:pPr>
              <w:spacing w:after="0" w:line="252" w:lineRule="auto"/>
              <w:jc w:val="center"/>
            </w:pPr>
            <w:r>
              <w:rPr>
                <w:rFonts w:ascii="Calibri" w:hAnsi="Calibri"/>
                <w:sz w:val="20"/>
              </w:rPr>
              <w:t>Q01</w:t>
            </w:r>
          </w:p>
        </w:tc>
        <w:tc>
          <w:tcPr>
            <w:tcW w:type="dxa" w:w="3787"/>
            <w:vAlign w:val="center"/>
            <w:shd w:fill="F2F5F7"/>
          </w:tcPr>
          <w:p>
            <w:pPr>
              <w:spacing w:after="0" w:line="252" w:lineRule="auto"/>
            </w:pPr>
            <w:r>
              <w:rPr>
                <w:rFonts w:ascii="Calibri" w:hAnsi="Calibri"/>
                <w:sz w:val="20"/>
              </w:rPr>
              <w:t>What is the financed amount in Contract_1.pdf?</w:t>
              <w:br/>
              <w:t>Scope: C1</w:t>
            </w:r>
          </w:p>
        </w:tc>
        <w:tc>
          <w:tcPr>
            <w:tcW w:type="dxa" w:w="4608"/>
            <w:vAlign w:val="center"/>
            <w:shd w:fill="F2F5F7"/>
          </w:tcPr>
          <w:p>
            <w:pPr>
              <w:spacing w:after="0" w:line="252" w:lineRule="auto"/>
            </w:pPr>
            <w:r>
              <w:rPr>
                <w:rFonts w:ascii="Calibri" w:hAnsi="Calibri"/>
                <w:sz w:val="20"/>
              </w:rPr>
              <w:t>Answer expected</w:t>
              <w:br/>
              <w:t>$82,437.00.</w:t>
            </w:r>
          </w:p>
        </w:tc>
        <w:tc>
          <w:tcPr>
            <w:tcW w:type="dxa" w:w="1224"/>
            <w:vAlign w:val="center"/>
            <w:shd w:fill="F2F5F7"/>
          </w:tcPr>
          <w:p>
            <w:pPr>
              <w:spacing w:after="0" w:line="252" w:lineRule="auto"/>
              <w:jc w:val="center"/>
            </w:pPr>
            <w:r>
              <w:rPr>
                <w:rFonts w:ascii="Calibri" w:hAnsi="Calibri"/>
                <w:sz w:val="20"/>
              </w:rPr>
              <w:t>C1 p.1</w:t>
            </w:r>
          </w:p>
        </w:tc>
      </w:tr>
      <w:tr>
        <w:trPr>
          <w:cantSplit/>
        </w:trPr>
        <w:tc>
          <w:tcPr>
            <w:tcW w:type="dxa" w:w="605"/>
            <w:vAlign w:val="center"/>
            <w:shd w:fill="FFFFFF"/>
          </w:tcPr>
          <w:p>
            <w:pPr>
              <w:spacing w:after="0" w:line="252" w:lineRule="auto"/>
              <w:jc w:val="center"/>
            </w:pPr>
            <w:r>
              <w:rPr>
                <w:rFonts w:ascii="Calibri" w:hAnsi="Calibri"/>
                <w:sz w:val="20"/>
              </w:rPr>
              <w:t>Q02</w:t>
            </w:r>
          </w:p>
        </w:tc>
        <w:tc>
          <w:tcPr>
            <w:tcW w:type="dxa" w:w="3787"/>
            <w:vAlign w:val="center"/>
            <w:shd w:fill="FFFFFF"/>
          </w:tcPr>
          <w:p>
            <w:pPr>
              <w:spacing w:after="0" w:line="252" w:lineRule="auto"/>
            </w:pPr>
            <w:r>
              <w:rPr>
                <w:rFonts w:ascii="Calibri" w:hAnsi="Calibri"/>
                <w:sz w:val="20"/>
              </w:rPr>
              <w:t>What is the financed amount in Contract_2.pdf?</w:t>
              <w:br/>
              <w:t>Scope: C2</w:t>
            </w:r>
          </w:p>
        </w:tc>
        <w:tc>
          <w:tcPr>
            <w:tcW w:type="dxa" w:w="4608"/>
            <w:vAlign w:val="center"/>
            <w:shd w:fill="FFFFFF"/>
          </w:tcPr>
          <w:p>
            <w:pPr>
              <w:spacing w:after="0" w:line="252" w:lineRule="auto"/>
            </w:pPr>
            <w:r>
              <w:rPr>
                <w:rFonts w:ascii="Calibri" w:hAnsi="Calibri"/>
                <w:sz w:val="20"/>
              </w:rPr>
              <w:t>Answer expected</w:t>
              <w:br/>
              <w:t>$38,384.00.</w:t>
            </w:r>
          </w:p>
        </w:tc>
        <w:tc>
          <w:tcPr>
            <w:tcW w:type="dxa" w:w="1224"/>
            <w:vAlign w:val="center"/>
            <w:shd w:fill="FFFFFF"/>
          </w:tcPr>
          <w:p>
            <w:pPr>
              <w:spacing w:after="0" w:line="252" w:lineRule="auto"/>
              <w:jc w:val="center"/>
            </w:pPr>
            <w:r>
              <w:rPr>
                <w:rFonts w:ascii="Calibri" w:hAnsi="Calibri"/>
                <w:sz w:val="20"/>
              </w:rPr>
              <w:t>C2 p.1</w:t>
            </w:r>
          </w:p>
        </w:tc>
      </w:tr>
      <w:tr>
        <w:trPr>
          <w:cantSplit/>
        </w:trPr>
        <w:tc>
          <w:tcPr>
            <w:tcW w:type="dxa" w:w="605"/>
            <w:vAlign w:val="center"/>
            <w:shd w:fill="F2F5F7"/>
          </w:tcPr>
          <w:p>
            <w:pPr>
              <w:spacing w:after="0" w:line="252" w:lineRule="auto"/>
              <w:jc w:val="center"/>
            </w:pPr>
            <w:r>
              <w:rPr>
                <w:rFonts w:ascii="Calibri" w:hAnsi="Calibri"/>
                <w:sz w:val="20"/>
              </w:rPr>
              <w:t>Q03</w:t>
            </w:r>
          </w:p>
        </w:tc>
        <w:tc>
          <w:tcPr>
            <w:tcW w:type="dxa" w:w="3787"/>
            <w:vAlign w:val="center"/>
            <w:shd w:fill="F2F5F7"/>
          </w:tcPr>
          <w:p>
            <w:pPr>
              <w:spacing w:after="0" w:line="252" w:lineRule="auto"/>
            </w:pPr>
            <w:r>
              <w:rPr>
                <w:rFonts w:ascii="Calibri" w:hAnsi="Calibri"/>
                <w:sz w:val="20"/>
              </w:rPr>
              <w:t>What financing period is stated in Contract_1.pdf?</w:t>
              <w:br/>
              <w:t>Scope: C1</w:t>
            </w:r>
          </w:p>
        </w:tc>
        <w:tc>
          <w:tcPr>
            <w:tcW w:type="dxa" w:w="4608"/>
            <w:vAlign w:val="center"/>
            <w:shd w:fill="F2F5F7"/>
          </w:tcPr>
          <w:p>
            <w:pPr>
              <w:spacing w:after="0" w:line="252" w:lineRule="auto"/>
            </w:pPr>
            <w:r>
              <w:rPr>
                <w:rFonts w:ascii="Calibri" w:hAnsi="Calibri"/>
                <w:sz w:val="20"/>
              </w:rPr>
              <w:t>Answer expected</w:t>
              <w:br/>
              <w:t>Up to 60 months, unless otherwise agreed upon by the parties.</w:t>
            </w:r>
          </w:p>
        </w:tc>
        <w:tc>
          <w:tcPr>
            <w:tcW w:type="dxa" w:w="1224"/>
            <w:vAlign w:val="center"/>
            <w:shd w:fill="F2F5F7"/>
          </w:tcPr>
          <w:p>
            <w:pPr>
              <w:spacing w:after="0" w:line="252" w:lineRule="auto"/>
              <w:jc w:val="center"/>
            </w:pPr>
            <w:r>
              <w:rPr>
                <w:rFonts w:ascii="Calibri" w:hAnsi="Calibri"/>
                <w:sz w:val="20"/>
              </w:rPr>
              <w:t>C1 p.2</w:t>
            </w:r>
          </w:p>
        </w:tc>
      </w:tr>
      <w:tr>
        <w:trPr>
          <w:cantSplit/>
        </w:trPr>
        <w:tc>
          <w:tcPr>
            <w:tcW w:type="dxa" w:w="605"/>
            <w:vAlign w:val="center"/>
            <w:shd w:fill="FFFFFF"/>
          </w:tcPr>
          <w:p>
            <w:pPr>
              <w:spacing w:after="0" w:line="252" w:lineRule="auto"/>
              <w:jc w:val="center"/>
            </w:pPr>
            <w:r>
              <w:rPr>
                <w:rFonts w:ascii="Calibri" w:hAnsi="Calibri"/>
                <w:sz w:val="20"/>
              </w:rPr>
              <w:t>Q04</w:t>
            </w:r>
          </w:p>
        </w:tc>
        <w:tc>
          <w:tcPr>
            <w:tcW w:type="dxa" w:w="3787"/>
            <w:vAlign w:val="center"/>
            <w:shd w:fill="FFFFFF"/>
          </w:tcPr>
          <w:p>
            <w:pPr>
              <w:spacing w:after="0" w:line="252" w:lineRule="auto"/>
            </w:pPr>
            <w:r>
              <w:rPr>
                <w:rFonts w:ascii="Calibri" w:hAnsi="Calibri"/>
                <w:sz w:val="20"/>
              </w:rPr>
              <w:t>What interest rate and annual adjustment are stated in Contract_1.pdf?</w:t>
              <w:br/>
              <w:t>Scope: C1</w:t>
            </w:r>
          </w:p>
        </w:tc>
        <w:tc>
          <w:tcPr>
            <w:tcW w:type="dxa" w:w="4608"/>
            <w:vAlign w:val="center"/>
            <w:shd w:fill="FFFFFF"/>
          </w:tcPr>
          <w:p>
            <w:pPr>
              <w:spacing w:after="0" w:line="252" w:lineRule="auto"/>
            </w:pPr>
            <w:r>
              <w:rPr>
                <w:rFonts w:ascii="Calibri" w:hAnsi="Calibri"/>
                <w:sz w:val="20"/>
              </w:rPr>
              <w:t>Answer expected</w:t>
              <w:br/>
              <w:t>Monthly installments carry interest of 1.2% per month and are corrected annually by CPI.</w:t>
            </w:r>
          </w:p>
        </w:tc>
        <w:tc>
          <w:tcPr>
            <w:tcW w:type="dxa" w:w="1224"/>
            <w:vAlign w:val="center"/>
            <w:shd w:fill="FFFFFF"/>
          </w:tcPr>
          <w:p>
            <w:pPr>
              <w:spacing w:after="0" w:line="252" w:lineRule="auto"/>
              <w:jc w:val="center"/>
            </w:pPr>
            <w:r>
              <w:rPr>
                <w:rFonts w:ascii="Calibri" w:hAnsi="Calibri"/>
                <w:sz w:val="20"/>
              </w:rPr>
              <w:t>C1 p.2</w:t>
            </w:r>
          </w:p>
        </w:tc>
      </w:tr>
      <w:tr>
        <w:trPr>
          <w:cantSplit/>
        </w:trPr>
        <w:tc>
          <w:tcPr>
            <w:tcW w:type="dxa" w:w="605"/>
            <w:vAlign w:val="center"/>
            <w:shd w:fill="F2F5F7"/>
          </w:tcPr>
          <w:p>
            <w:pPr>
              <w:spacing w:after="0" w:line="252" w:lineRule="auto"/>
              <w:jc w:val="center"/>
            </w:pPr>
            <w:r>
              <w:rPr>
                <w:rFonts w:ascii="Calibri" w:hAnsi="Calibri"/>
                <w:sz w:val="20"/>
              </w:rPr>
              <w:t>Q05</w:t>
            </w:r>
          </w:p>
        </w:tc>
        <w:tc>
          <w:tcPr>
            <w:tcW w:type="dxa" w:w="3787"/>
            <w:vAlign w:val="center"/>
            <w:shd w:fill="F2F5F7"/>
          </w:tcPr>
          <w:p>
            <w:pPr>
              <w:spacing w:after="0" w:line="252" w:lineRule="auto"/>
            </w:pPr>
            <w:r>
              <w:rPr>
                <w:rFonts w:ascii="Calibri" w:hAnsi="Calibri"/>
                <w:sz w:val="20"/>
              </w:rPr>
              <w:t>What happens if an installment payment is late under Contract_1.pdf?</w:t>
              <w:br/>
              <w:t>Scope: C1</w:t>
            </w:r>
          </w:p>
        </w:tc>
        <w:tc>
          <w:tcPr>
            <w:tcW w:type="dxa" w:w="4608"/>
            <w:vAlign w:val="center"/>
            <w:shd w:fill="F2F5F7"/>
          </w:tcPr>
          <w:p>
            <w:pPr>
              <w:spacing w:after="0" w:line="252" w:lineRule="auto"/>
            </w:pPr>
            <w:r>
              <w:rPr>
                <w:rFonts w:ascii="Calibri" w:hAnsi="Calibri"/>
                <w:sz w:val="20"/>
              </w:rPr>
              <w:t>Answer expected</w:t>
              <w:br/>
              <w:t>A penalty of 2% on the installment, late interest of 1% per month, and possible execution of the guarantee.</w:t>
            </w:r>
          </w:p>
        </w:tc>
        <w:tc>
          <w:tcPr>
            <w:tcW w:type="dxa" w:w="1224"/>
            <w:vAlign w:val="center"/>
            <w:shd w:fill="F2F5F7"/>
          </w:tcPr>
          <w:p>
            <w:pPr>
              <w:spacing w:after="0" w:line="252" w:lineRule="auto"/>
              <w:jc w:val="center"/>
            </w:pPr>
            <w:r>
              <w:rPr>
                <w:rFonts w:ascii="Calibri" w:hAnsi="Calibri"/>
                <w:sz w:val="20"/>
              </w:rPr>
              <w:t>C1 p.2</w:t>
            </w:r>
          </w:p>
        </w:tc>
      </w:tr>
      <w:tr>
        <w:trPr>
          <w:cantSplit/>
        </w:trPr>
        <w:tc>
          <w:tcPr>
            <w:tcW w:type="dxa" w:w="605"/>
            <w:vAlign w:val="center"/>
            <w:shd w:fill="FFFFFF"/>
          </w:tcPr>
          <w:p>
            <w:pPr>
              <w:spacing w:after="0" w:line="252" w:lineRule="auto"/>
              <w:jc w:val="center"/>
            </w:pPr>
            <w:r>
              <w:rPr>
                <w:rFonts w:ascii="Calibri" w:hAnsi="Calibri"/>
                <w:sz w:val="20"/>
              </w:rPr>
              <w:t>Q06</w:t>
            </w:r>
          </w:p>
        </w:tc>
        <w:tc>
          <w:tcPr>
            <w:tcW w:type="dxa" w:w="3787"/>
            <w:vAlign w:val="center"/>
            <w:shd w:fill="FFFFFF"/>
          </w:tcPr>
          <w:p>
            <w:pPr>
              <w:spacing w:after="0" w:line="252" w:lineRule="auto"/>
            </w:pPr>
            <w:r>
              <w:rPr>
                <w:rFonts w:ascii="Calibri" w:hAnsi="Calibri"/>
                <w:sz w:val="20"/>
              </w:rPr>
              <w:t>What guarantee secures Contract_1.pdf, and how long does it remain?</w:t>
              <w:br/>
              <w:t>Scope: C1</w:t>
            </w:r>
          </w:p>
        </w:tc>
        <w:tc>
          <w:tcPr>
            <w:tcW w:type="dxa" w:w="4608"/>
            <w:vAlign w:val="center"/>
            <w:shd w:fill="FFFFFF"/>
          </w:tcPr>
          <w:p>
            <w:pPr>
              <w:spacing w:after="0" w:line="252" w:lineRule="auto"/>
            </w:pPr>
            <w:r>
              <w:rPr>
                <w:rFonts w:ascii="Calibri" w:hAnsi="Calibri"/>
                <w:sz w:val="20"/>
              </w:rPr>
              <w:t>Answer expected</w:t>
              <w:br/>
              <w:t>The financed asset remains under fiduciary lien in favor of the bank until full settlement.</w:t>
            </w:r>
          </w:p>
        </w:tc>
        <w:tc>
          <w:tcPr>
            <w:tcW w:type="dxa" w:w="1224"/>
            <w:vAlign w:val="center"/>
            <w:shd w:fill="FFFFFF"/>
          </w:tcPr>
          <w:p>
            <w:pPr>
              <w:spacing w:after="0" w:line="252" w:lineRule="auto"/>
              <w:jc w:val="center"/>
            </w:pPr>
            <w:r>
              <w:rPr>
                <w:rFonts w:ascii="Calibri" w:hAnsi="Calibri"/>
                <w:sz w:val="20"/>
              </w:rPr>
              <w:t>C1 p.2</w:t>
            </w:r>
          </w:p>
        </w:tc>
      </w:tr>
      <w:tr>
        <w:trPr>
          <w:cantSplit/>
        </w:trPr>
        <w:tc>
          <w:tcPr>
            <w:tcW w:type="dxa" w:w="605"/>
            <w:vAlign w:val="center"/>
            <w:shd w:fill="F2F5F7"/>
          </w:tcPr>
          <w:p>
            <w:pPr>
              <w:spacing w:after="0" w:line="252" w:lineRule="auto"/>
              <w:jc w:val="center"/>
            </w:pPr>
            <w:r>
              <w:rPr>
                <w:rFonts w:ascii="Calibri" w:hAnsi="Calibri"/>
                <w:sz w:val="20"/>
              </w:rPr>
              <w:t>Q07</w:t>
            </w:r>
          </w:p>
        </w:tc>
        <w:tc>
          <w:tcPr>
            <w:tcW w:type="dxa" w:w="3787"/>
            <w:vAlign w:val="center"/>
            <w:shd w:fill="F2F5F7"/>
          </w:tcPr>
          <w:p>
            <w:pPr>
              <w:spacing w:after="0" w:line="252" w:lineRule="auto"/>
            </w:pPr>
            <w:r>
              <w:rPr>
                <w:rFonts w:ascii="Calibri" w:hAnsi="Calibri"/>
                <w:sz w:val="20"/>
              </w:rPr>
              <w:t>What insurance obligation is stated in Contract_1.pdf?</w:t>
              <w:br/>
              <w:t>Scope: C1</w:t>
            </w:r>
          </w:p>
        </w:tc>
        <w:tc>
          <w:tcPr>
            <w:tcW w:type="dxa" w:w="4608"/>
            <w:vAlign w:val="center"/>
            <w:shd w:fill="F2F5F7"/>
          </w:tcPr>
          <w:p>
            <w:pPr>
              <w:spacing w:after="0" w:line="252" w:lineRule="auto"/>
            </w:pPr>
            <w:r>
              <w:rPr>
                <w:rFonts w:ascii="Calibri" w:hAnsi="Calibri"/>
                <w:sz w:val="20"/>
              </w:rPr>
              <w:t>Answer expected</w:t>
              <w:br/>
              <w:t>The borrower must obtain mandatory insurance for the financed asset, with minimum coverage as required by current legislation. The clause gives no numeric coverage limit.</w:t>
            </w:r>
          </w:p>
        </w:tc>
        <w:tc>
          <w:tcPr>
            <w:tcW w:type="dxa" w:w="1224"/>
            <w:vAlign w:val="center"/>
            <w:shd w:fill="F2F5F7"/>
          </w:tcPr>
          <w:p>
            <w:pPr>
              <w:spacing w:after="0" w:line="252" w:lineRule="auto"/>
              <w:jc w:val="center"/>
            </w:pPr>
            <w:r>
              <w:rPr>
                <w:rFonts w:ascii="Calibri" w:hAnsi="Calibri"/>
                <w:sz w:val="20"/>
              </w:rPr>
              <w:t>C1 p.2</w:t>
            </w:r>
          </w:p>
        </w:tc>
      </w:tr>
      <w:tr>
        <w:trPr>
          <w:cantSplit/>
        </w:trPr>
        <w:tc>
          <w:tcPr>
            <w:tcW w:type="dxa" w:w="605"/>
            <w:vAlign w:val="center"/>
            <w:shd w:fill="FFFFFF"/>
          </w:tcPr>
          <w:p>
            <w:pPr>
              <w:spacing w:after="0" w:line="252" w:lineRule="auto"/>
              <w:jc w:val="center"/>
            </w:pPr>
            <w:r>
              <w:rPr>
                <w:rFonts w:ascii="Calibri" w:hAnsi="Calibri"/>
                <w:sz w:val="20"/>
              </w:rPr>
              <w:t>Q08</w:t>
            </w:r>
          </w:p>
        </w:tc>
        <w:tc>
          <w:tcPr>
            <w:tcW w:type="dxa" w:w="3787"/>
            <w:vAlign w:val="center"/>
            <w:shd w:fill="FFFFFF"/>
          </w:tcPr>
          <w:p>
            <w:pPr>
              <w:spacing w:after="0" w:line="252" w:lineRule="auto"/>
            </w:pPr>
            <w:r>
              <w:rPr>
                <w:rFonts w:ascii="Calibri" w:hAnsi="Calibri"/>
                <w:sz w:val="20"/>
              </w:rPr>
              <w:t>What does Contract_1.pdf say about notification when termination follows a breach?</w:t>
              <w:br/>
              <w:t>Scope: C1</w:t>
            </w:r>
          </w:p>
        </w:tc>
        <w:tc>
          <w:tcPr>
            <w:tcW w:type="dxa" w:w="4608"/>
            <w:vAlign w:val="center"/>
            <w:shd w:fill="FFFFFF"/>
          </w:tcPr>
          <w:p>
            <w:pPr>
              <w:spacing w:after="0" w:line="252" w:lineRule="auto"/>
            </w:pPr>
            <w:r>
              <w:rPr>
                <w:rFonts w:ascii="Calibri" w:hAnsi="Calibri"/>
                <w:sz w:val="20"/>
              </w:rPr>
              <w:t>Answer expected</w:t>
              <w:br/>
              <w:t>The breach clause says breach of obligations results in termination and enforcement of guarantees, regardless of notification. Do not infer a general voluntary termination right.</w:t>
            </w:r>
          </w:p>
        </w:tc>
        <w:tc>
          <w:tcPr>
            <w:tcW w:type="dxa" w:w="1224"/>
            <w:vAlign w:val="center"/>
            <w:shd w:fill="FFFFFF"/>
          </w:tcPr>
          <w:p>
            <w:pPr>
              <w:spacing w:after="0" w:line="252" w:lineRule="auto"/>
              <w:jc w:val="center"/>
            </w:pPr>
            <w:r>
              <w:rPr>
                <w:rFonts w:ascii="Calibri" w:hAnsi="Calibri"/>
                <w:sz w:val="20"/>
              </w:rPr>
              <w:t>C1 p.2</w:t>
            </w:r>
          </w:p>
        </w:tc>
      </w:tr>
      <w:tr>
        <w:trPr>
          <w:cantSplit/>
        </w:trPr>
        <w:tc>
          <w:tcPr>
            <w:tcW w:type="dxa" w:w="605"/>
            <w:vAlign w:val="center"/>
            <w:shd w:fill="F2F5F7"/>
          </w:tcPr>
          <w:p>
            <w:pPr>
              <w:spacing w:after="0" w:line="252" w:lineRule="auto"/>
              <w:jc w:val="center"/>
            </w:pPr>
            <w:r>
              <w:rPr>
                <w:rFonts w:ascii="Calibri" w:hAnsi="Calibri"/>
                <w:sz w:val="20"/>
              </w:rPr>
              <w:t>Q09</w:t>
            </w:r>
          </w:p>
        </w:tc>
        <w:tc>
          <w:tcPr>
            <w:tcW w:type="dxa" w:w="3787"/>
            <w:vAlign w:val="center"/>
            <w:shd w:fill="F2F5F7"/>
          </w:tcPr>
          <w:p>
            <w:pPr>
              <w:spacing w:after="0" w:line="252" w:lineRule="auto"/>
            </w:pPr>
            <w:r>
              <w:rPr>
                <w:rFonts w:ascii="Calibri" w:hAnsi="Calibri"/>
                <w:sz w:val="20"/>
              </w:rPr>
              <w:t>Which courts are selected for disputes in Contract_1.pdf?</w:t>
              <w:br/>
              <w:t>Scope: C1</w:t>
            </w:r>
          </w:p>
        </w:tc>
        <w:tc>
          <w:tcPr>
            <w:tcW w:type="dxa" w:w="4608"/>
            <w:vAlign w:val="center"/>
            <w:shd w:fill="F2F5F7"/>
          </w:tcPr>
          <w:p>
            <w:pPr>
              <w:spacing w:after="0" w:line="252" w:lineRule="auto"/>
            </w:pPr>
            <w:r>
              <w:rPr>
                <w:rFonts w:ascii="Calibri" w:hAnsi="Calibri"/>
                <w:sz w:val="20"/>
              </w:rPr>
              <w:t>Answer expected</w:t>
              <w:br/>
              <w:t>The Courts of New York, NY.</w:t>
            </w:r>
          </w:p>
        </w:tc>
        <w:tc>
          <w:tcPr>
            <w:tcW w:type="dxa" w:w="1224"/>
            <w:vAlign w:val="center"/>
            <w:shd w:fill="F2F5F7"/>
          </w:tcPr>
          <w:p>
            <w:pPr>
              <w:spacing w:after="0" w:line="252" w:lineRule="auto"/>
              <w:jc w:val="center"/>
            </w:pPr>
            <w:r>
              <w:rPr>
                <w:rFonts w:ascii="Calibri" w:hAnsi="Calibri"/>
                <w:sz w:val="20"/>
              </w:rPr>
              <w:t>C1 p.2</w:t>
            </w:r>
          </w:p>
        </w:tc>
      </w:tr>
      <w:tr>
        <w:trPr>
          <w:cantSplit/>
        </w:trPr>
        <w:tc>
          <w:tcPr>
            <w:tcW w:type="dxa" w:w="605"/>
            <w:vAlign w:val="center"/>
            <w:shd w:fill="FFFFFF"/>
          </w:tcPr>
          <w:p>
            <w:pPr>
              <w:spacing w:after="0" w:line="252" w:lineRule="auto"/>
              <w:jc w:val="center"/>
            </w:pPr>
            <w:r>
              <w:rPr>
                <w:rFonts w:ascii="Calibri" w:hAnsi="Calibri"/>
                <w:sz w:val="20"/>
              </w:rPr>
              <w:t>Q10</w:t>
            </w:r>
          </w:p>
        </w:tc>
        <w:tc>
          <w:tcPr>
            <w:tcW w:type="dxa" w:w="3787"/>
            <w:vAlign w:val="center"/>
            <w:shd w:fill="FFFFFF"/>
          </w:tcPr>
          <w:p>
            <w:pPr>
              <w:spacing w:after="0" w:line="252" w:lineRule="auto"/>
            </w:pPr>
            <w:r>
              <w:rPr>
                <w:rFonts w:ascii="Calibri" w:hAnsi="Calibri"/>
                <w:sz w:val="20"/>
              </w:rPr>
              <w:t>What is the purpose stated in Contract_2.pdf?</w:t>
              <w:br/>
              <w:t>Scope: C2</w:t>
            </w:r>
          </w:p>
        </w:tc>
        <w:tc>
          <w:tcPr>
            <w:tcW w:type="dxa" w:w="4608"/>
            <w:vAlign w:val="center"/>
            <w:shd w:fill="FFFFFF"/>
          </w:tcPr>
          <w:p>
            <w:pPr>
              <w:spacing w:after="0" w:line="252" w:lineRule="auto"/>
            </w:pPr>
            <w:r>
              <w:rPr>
                <w:rFonts w:ascii="Calibri" w:hAnsi="Calibri"/>
                <w:sz w:val="20"/>
              </w:rPr>
              <w:t>Answer expected</w:t>
              <w:br/>
              <w:t>Granting financing to the borrower for acquisition of the asset described in the preamble.</w:t>
            </w:r>
          </w:p>
        </w:tc>
        <w:tc>
          <w:tcPr>
            <w:tcW w:type="dxa" w:w="1224"/>
            <w:vAlign w:val="center"/>
            <w:shd w:fill="FFFFFF"/>
          </w:tcPr>
          <w:p>
            <w:pPr>
              <w:spacing w:after="0" w:line="252" w:lineRule="auto"/>
              <w:jc w:val="center"/>
            </w:pPr>
            <w:r>
              <w:rPr>
                <w:rFonts w:ascii="Calibri" w:hAnsi="Calibri"/>
                <w:sz w:val="20"/>
              </w:rPr>
              <w:t>C2 p.2</w:t>
            </w:r>
          </w:p>
        </w:tc>
      </w:tr>
      <w:tr>
        <w:trPr>
          <w:cantSplit/>
        </w:trPr>
        <w:tc>
          <w:tcPr>
            <w:tcW w:type="dxa" w:w="605"/>
            <w:vAlign w:val="center"/>
            <w:shd w:fill="F2F5F7"/>
          </w:tcPr>
          <w:p>
            <w:pPr>
              <w:spacing w:after="0" w:line="252" w:lineRule="auto"/>
              <w:jc w:val="center"/>
            </w:pPr>
            <w:r>
              <w:rPr>
                <w:rFonts w:ascii="Calibri" w:hAnsi="Calibri"/>
                <w:sz w:val="20"/>
              </w:rPr>
              <w:t>Q11</w:t>
            </w:r>
          </w:p>
        </w:tc>
        <w:tc>
          <w:tcPr>
            <w:tcW w:type="dxa" w:w="3787"/>
            <w:vAlign w:val="center"/>
            <w:shd w:fill="F2F5F7"/>
          </w:tcPr>
          <w:p>
            <w:pPr>
              <w:spacing w:after="0" w:line="252" w:lineRule="auto"/>
            </w:pPr>
            <w:r>
              <w:rPr>
                <w:rFonts w:ascii="Calibri" w:hAnsi="Calibri"/>
                <w:sz w:val="20"/>
              </w:rPr>
              <w:t>Compare the financed amounts in Contract_1.pdf and Contract_2.pdf. State each amount and identify which contract has the higher amount.</w:t>
              <w:br/>
              <w:t>Scope: C1, C2</w:t>
            </w:r>
          </w:p>
        </w:tc>
        <w:tc>
          <w:tcPr>
            <w:tcW w:type="dxa" w:w="4608"/>
            <w:vAlign w:val="center"/>
            <w:shd w:fill="F2F5F7"/>
          </w:tcPr>
          <w:p>
            <w:pPr>
              <w:spacing w:after="0" w:line="252" w:lineRule="auto"/>
            </w:pPr>
            <w:r>
              <w:rPr>
                <w:rFonts w:ascii="Calibri" w:hAnsi="Calibri"/>
                <w:sz w:val="20"/>
              </w:rPr>
              <w:t>Answer expected</w:t>
              <w:br/>
              <w:t>Contract_1.pdf: $82,437.00. Contract_2.pdf: $38,384.00. Contract_1.pdf has the higher amount.</w:t>
            </w:r>
          </w:p>
        </w:tc>
        <w:tc>
          <w:tcPr>
            <w:tcW w:type="dxa" w:w="1224"/>
            <w:vAlign w:val="center"/>
            <w:shd w:fill="F2F5F7"/>
          </w:tcPr>
          <w:p>
            <w:pPr>
              <w:spacing w:after="0" w:line="252" w:lineRule="auto"/>
              <w:jc w:val="center"/>
            </w:pPr>
            <w:r>
              <w:rPr>
                <w:rFonts w:ascii="Calibri" w:hAnsi="Calibri"/>
                <w:sz w:val="20"/>
              </w:rPr>
              <w:t>C1 p.1; C2 p.1</w:t>
            </w:r>
          </w:p>
        </w:tc>
      </w:tr>
      <w:tr>
        <w:trPr>
          <w:cantSplit/>
        </w:trPr>
        <w:tc>
          <w:tcPr>
            <w:tcW w:type="dxa" w:w="605"/>
            <w:vAlign w:val="center"/>
            <w:shd w:fill="FFFFFF"/>
          </w:tcPr>
          <w:p>
            <w:pPr>
              <w:spacing w:after="0" w:line="252" w:lineRule="auto"/>
              <w:jc w:val="center"/>
            </w:pPr>
            <w:r>
              <w:rPr>
                <w:rFonts w:ascii="Calibri" w:hAnsi="Calibri"/>
                <w:sz w:val="20"/>
              </w:rPr>
              <w:t>Q12</w:t>
            </w:r>
          </w:p>
        </w:tc>
        <w:tc>
          <w:tcPr>
            <w:tcW w:type="dxa" w:w="3787"/>
            <w:vAlign w:val="center"/>
            <w:shd w:fill="FFFFFF"/>
          </w:tcPr>
          <w:p>
            <w:pPr>
              <w:spacing w:after="0" w:line="252" w:lineRule="auto"/>
            </w:pPr>
            <w:r>
              <w:rPr>
                <w:rFonts w:ascii="Calibri" w:hAnsi="Calibri"/>
                <w:sz w:val="20"/>
              </w:rPr>
              <w:t>Compare the interest rates and annual adjustments in Contract_1.pdf and Contract_2.pdf.</w:t>
              <w:br/>
              <w:t>Scope: C1, C2</w:t>
            </w:r>
          </w:p>
        </w:tc>
        <w:tc>
          <w:tcPr>
            <w:tcW w:type="dxa" w:w="4608"/>
            <w:vAlign w:val="center"/>
            <w:shd w:fill="FFFFFF"/>
          </w:tcPr>
          <w:p>
            <w:pPr>
              <w:spacing w:after="0" w:line="252" w:lineRule="auto"/>
            </w:pPr>
            <w:r>
              <w:rPr>
                <w:rFonts w:ascii="Calibri" w:hAnsi="Calibri"/>
                <w:sz w:val="20"/>
              </w:rPr>
              <w:t>Answer expected</w:t>
              <w:br/>
              <w:t>Both state interest of 1.2% per month and annual CPI correction.</w:t>
            </w:r>
          </w:p>
        </w:tc>
        <w:tc>
          <w:tcPr>
            <w:tcW w:type="dxa" w:w="1224"/>
            <w:vAlign w:val="center"/>
            <w:shd w:fill="FFFFFF"/>
          </w:tcPr>
          <w:p>
            <w:pPr>
              <w:spacing w:after="0" w:line="252" w:lineRule="auto"/>
              <w:jc w:val="center"/>
            </w:pPr>
            <w:r>
              <w:rPr>
                <w:rFonts w:ascii="Calibri" w:hAnsi="Calibri"/>
                <w:sz w:val="20"/>
              </w:rPr>
              <w:t>C1 p.2; C2 p.2</w:t>
            </w:r>
          </w:p>
        </w:tc>
      </w:tr>
      <w:tr>
        <w:trPr>
          <w:cantSplit/>
        </w:trPr>
        <w:tc>
          <w:tcPr>
            <w:tcW w:type="dxa" w:w="605"/>
            <w:vAlign w:val="center"/>
            <w:shd w:fill="F2F5F7"/>
          </w:tcPr>
          <w:p>
            <w:pPr>
              <w:spacing w:after="0" w:line="252" w:lineRule="auto"/>
              <w:jc w:val="center"/>
            </w:pPr>
            <w:r>
              <w:rPr>
                <w:rFonts w:ascii="Calibri" w:hAnsi="Calibri"/>
                <w:sz w:val="20"/>
              </w:rPr>
              <w:t>Q13</w:t>
            </w:r>
          </w:p>
        </w:tc>
        <w:tc>
          <w:tcPr>
            <w:tcW w:type="dxa" w:w="3787"/>
            <w:vAlign w:val="center"/>
            <w:shd w:fill="F2F5F7"/>
          </w:tcPr>
          <w:p>
            <w:pPr>
              <w:spacing w:after="0" w:line="252" w:lineRule="auto"/>
            </w:pPr>
            <w:r>
              <w:rPr>
                <w:rFonts w:ascii="Calibri" w:hAnsi="Calibri"/>
                <w:sz w:val="20"/>
              </w:rPr>
              <w:t>Compare the late-payment charges in Contract_1.pdf and Contract_2.pdf.</w:t>
              <w:br/>
              <w:t>Scope: C1, C2</w:t>
            </w:r>
          </w:p>
        </w:tc>
        <w:tc>
          <w:tcPr>
            <w:tcW w:type="dxa" w:w="4608"/>
            <w:vAlign w:val="center"/>
            <w:shd w:fill="F2F5F7"/>
          </w:tcPr>
          <w:p>
            <w:pPr>
              <w:spacing w:after="0" w:line="252" w:lineRule="auto"/>
            </w:pPr>
            <w:r>
              <w:rPr>
                <w:rFonts w:ascii="Calibri" w:hAnsi="Calibri"/>
                <w:sz w:val="20"/>
              </w:rPr>
              <w:t>Answer expected</w:t>
              <w:br/>
              <w:t>Both state a penalty of 2% on the installment and late interest of 1% per month, with possible execution of the guarantee.</w:t>
            </w:r>
          </w:p>
        </w:tc>
        <w:tc>
          <w:tcPr>
            <w:tcW w:type="dxa" w:w="1224"/>
            <w:vAlign w:val="center"/>
            <w:shd w:fill="F2F5F7"/>
          </w:tcPr>
          <w:p>
            <w:pPr>
              <w:spacing w:after="0" w:line="252" w:lineRule="auto"/>
              <w:jc w:val="center"/>
            </w:pPr>
            <w:r>
              <w:rPr>
                <w:rFonts w:ascii="Calibri" w:hAnsi="Calibri"/>
                <w:sz w:val="20"/>
              </w:rPr>
              <w:t>C1 p.2; C2 p.2</w:t>
            </w:r>
          </w:p>
        </w:tc>
      </w:tr>
      <w:tr>
        <w:trPr>
          <w:cantSplit/>
        </w:trPr>
        <w:tc>
          <w:tcPr>
            <w:tcW w:type="dxa" w:w="605"/>
            <w:vAlign w:val="center"/>
            <w:shd w:fill="FFFFFF"/>
          </w:tcPr>
          <w:p>
            <w:pPr>
              <w:spacing w:after="0" w:line="252" w:lineRule="auto"/>
              <w:jc w:val="center"/>
            </w:pPr>
            <w:r>
              <w:rPr>
                <w:rFonts w:ascii="Calibri" w:hAnsi="Calibri"/>
                <w:sz w:val="20"/>
              </w:rPr>
              <w:t>Q14</w:t>
            </w:r>
          </w:p>
        </w:tc>
        <w:tc>
          <w:tcPr>
            <w:tcW w:type="dxa" w:w="3787"/>
            <w:vAlign w:val="center"/>
            <w:shd w:fill="FFFFFF"/>
          </w:tcPr>
          <w:p>
            <w:pPr>
              <w:spacing w:after="0" w:line="252" w:lineRule="auto"/>
            </w:pPr>
            <w:r>
              <w:rPr>
                <w:rFonts w:ascii="Calibri" w:hAnsi="Calibri"/>
                <w:sz w:val="20"/>
              </w:rPr>
              <w:t>Compare the guarantees in Contract_1.pdf and Contract_2.pdf.</w:t>
              <w:br/>
              <w:t>Scope: C1, C2</w:t>
            </w:r>
          </w:p>
        </w:tc>
        <w:tc>
          <w:tcPr>
            <w:tcW w:type="dxa" w:w="4608"/>
            <w:vAlign w:val="center"/>
            <w:shd w:fill="FFFFFF"/>
          </w:tcPr>
          <w:p>
            <w:pPr>
              <w:spacing w:after="0" w:line="252" w:lineRule="auto"/>
            </w:pPr>
            <w:r>
              <w:rPr>
                <w:rFonts w:ascii="Calibri" w:hAnsi="Calibri"/>
                <w:sz w:val="20"/>
              </w:rPr>
              <w:t>Answer expected</w:t>
              <w:br/>
              <w:t>In each, the financed asset remains under fiduciary lien in favor of the bank until full settlement.</w:t>
            </w:r>
          </w:p>
        </w:tc>
        <w:tc>
          <w:tcPr>
            <w:tcW w:type="dxa" w:w="1224"/>
            <w:vAlign w:val="center"/>
            <w:shd w:fill="FFFFFF"/>
          </w:tcPr>
          <w:p>
            <w:pPr>
              <w:spacing w:after="0" w:line="252" w:lineRule="auto"/>
              <w:jc w:val="center"/>
            </w:pPr>
            <w:r>
              <w:rPr>
                <w:rFonts w:ascii="Calibri" w:hAnsi="Calibri"/>
                <w:sz w:val="20"/>
              </w:rPr>
              <w:t>C1 p.2; C2 p.2</w:t>
            </w:r>
          </w:p>
        </w:tc>
      </w:tr>
      <w:tr>
        <w:trPr>
          <w:cantSplit/>
        </w:trPr>
        <w:tc>
          <w:tcPr>
            <w:tcW w:type="dxa" w:w="605"/>
            <w:vAlign w:val="center"/>
            <w:shd w:fill="F2F5F7"/>
          </w:tcPr>
          <w:p>
            <w:pPr>
              <w:spacing w:after="0" w:line="252" w:lineRule="auto"/>
              <w:jc w:val="center"/>
            </w:pPr>
            <w:r>
              <w:rPr>
                <w:rFonts w:ascii="Calibri" w:hAnsi="Calibri"/>
                <w:sz w:val="20"/>
              </w:rPr>
              <w:t>Q15</w:t>
            </w:r>
          </w:p>
        </w:tc>
        <w:tc>
          <w:tcPr>
            <w:tcW w:type="dxa" w:w="3787"/>
            <w:vAlign w:val="center"/>
            <w:shd w:fill="F2F5F7"/>
          </w:tcPr>
          <w:p>
            <w:pPr>
              <w:spacing w:after="0" w:line="252" w:lineRule="auto"/>
            </w:pPr>
            <w:r>
              <w:rPr>
                <w:rFonts w:ascii="Calibri" w:hAnsi="Calibri"/>
                <w:sz w:val="20"/>
              </w:rPr>
              <w:t>What types of financing agreements are Contract_1.pdf and Contract_2.pdf?</w:t>
              <w:br/>
              <w:t>Scope: C1, C2</w:t>
            </w:r>
          </w:p>
        </w:tc>
        <w:tc>
          <w:tcPr>
            <w:tcW w:type="dxa" w:w="4608"/>
            <w:vAlign w:val="center"/>
            <w:shd w:fill="F2F5F7"/>
          </w:tcPr>
          <w:p>
            <w:pPr>
              <w:spacing w:after="0" w:line="252" w:lineRule="auto"/>
            </w:pPr>
            <w:r>
              <w:rPr>
                <w:rFonts w:ascii="Calibri" w:hAnsi="Calibri"/>
                <w:sz w:val="20"/>
              </w:rPr>
              <w:t>Answer expected</w:t>
              <w:br/>
              <w:t>Contract_1.pdf is a car financing agreement; Contract_2.pdf is a motorcycle financing agreement.</w:t>
            </w:r>
          </w:p>
        </w:tc>
        <w:tc>
          <w:tcPr>
            <w:tcW w:type="dxa" w:w="1224"/>
            <w:vAlign w:val="center"/>
            <w:shd w:fill="F2F5F7"/>
          </w:tcPr>
          <w:p>
            <w:pPr>
              <w:spacing w:after="0" w:line="252" w:lineRule="auto"/>
              <w:jc w:val="center"/>
            </w:pPr>
            <w:r>
              <w:rPr>
                <w:rFonts w:ascii="Calibri" w:hAnsi="Calibri"/>
                <w:sz w:val="20"/>
              </w:rPr>
              <w:t>C1 p.1; C2 p.1</w:t>
            </w:r>
          </w:p>
        </w:tc>
      </w:tr>
      <w:tr>
        <w:trPr>
          <w:cantSplit/>
        </w:trPr>
        <w:tc>
          <w:tcPr>
            <w:tcW w:type="dxa" w:w="605"/>
            <w:vAlign w:val="center"/>
            <w:shd w:fill="FFFFFF"/>
          </w:tcPr>
          <w:p>
            <w:pPr>
              <w:spacing w:after="0" w:line="252" w:lineRule="auto"/>
              <w:jc w:val="center"/>
            </w:pPr>
            <w:r>
              <w:rPr>
                <w:rFonts w:ascii="Calibri" w:hAnsi="Calibri"/>
                <w:sz w:val="20"/>
              </w:rPr>
              <w:t>Q16</w:t>
            </w:r>
          </w:p>
        </w:tc>
        <w:tc>
          <w:tcPr>
            <w:tcW w:type="dxa" w:w="3787"/>
            <w:vAlign w:val="center"/>
            <w:shd w:fill="FFFFFF"/>
          </w:tcPr>
          <w:p>
            <w:pPr>
              <w:spacing w:after="0" w:line="252" w:lineRule="auto"/>
            </w:pPr>
            <w:r>
              <w:rPr>
                <w:rFonts w:ascii="Calibri" w:hAnsi="Calibri"/>
                <w:sz w:val="20"/>
              </w:rPr>
              <w:t>Can I terminate the agreement?</w:t>
              <w:br/>
              <w:t>Scope: C1</w:t>
            </w:r>
          </w:p>
        </w:tc>
        <w:tc>
          <w:tcPr>
            <w:tcW w:type="dxa" w:w="4608"/>
            <w:vAlign w:val="center"/>
            <w:shd w:fill="FFFFFF"/>
          </w:tcPr>
          <w:p>
            <w:pPr>
              <w:spacing w:after="0" w:line="252" w:lineRule="auto"/>
            </w:pPr>
            <w:r>
              <w:rPr>
                <w:rFonts w:ascii="Calibri" w:hAnsi="Calibri"/>
                <w:sz w:val="20"/>
              </w:rPr>
              <w:t>Needs clarification</w:t>
              <w:br/>
              <w:t>Ask whether the user is the borrower or lender and whether this concerns breach or another reason. Do not assume a voluntary termination right.</w:t>
            </w:r>
          </w:p>
        </w:tc>
        <w:tc>
          <w:tcPr>
            <w:tcW w:type="dxa" w:w="1224"/>
            <w:vAlign w:val="center"/>
            <w:shd w:fill="FFFFFF"/>
          </w:tcPr>
          <w:p>
            <w:pPr>
              <w:spacing w:after="0" w:line="252" w:lineRule="auto"/>
              <w:jc w:val="center"/>
            </w:pPr>
            <w:r>
              <w:rPr>
                <w:rFonts w:ascii="Calibri" w:hAnsi="Calibri"/>
                <w:sz w:val="20"/>
              </w:rPr>
              <w:t>—</w:t>
            </w:r>
          </w:p>
        </w:tc>
      </w:tr>
      <w:tr>
        <w:trPr>
          <w:cantSplit/>
        </w:trPr>
        <w:tc>
          <w:tcPr>
            <w:tcW w:type="dxa" w:w="605"/>
            <w:vAlign w:val="center"/>
            <w:shd w:fill="F2F5F7"/>
          </w:tcPr>
          <w:p>
            <w:pPr>
              <w:spacing w:after="0" w:line="252" w:lineRule="auto"/>
              <w:jc w:val="center"/>
            </w:pPr>
            <w:r>
              <w:rPr>
                <w:rFonts w:ascii="Calibri" w:hAnsi="Calibri"/>
                <w:sz w:val="20"/>
              </w:rPr>
              <w:t>Q17</w:t>
            </w:r>
          </w:p>
        </w:tc>
        <w:tc>
          <w:tcPr>
            <w:tcW w:type="dxa" w:w="3787"/>
            <w:vAlign w:val="center"/>
            <w:shd w:fill="F2F5F7"/>
          </w:tcPr>
          <w:p>
            <w:pPr>
              <w:spacing w:after="0" w:line="252" w:lineRule="auto"/>
            </w:pPr>
            <w:r>
              <w:rPr>
                <w:rFonts w:ascii="Calibri" w:hAnsi="Calibri"/>
                <w:sz w:val="20"/>
              </w:rPr>
              <w:t>What is the repayment deadline?</w:t>
              <w:br/>
              <w:t>Scope: All contracts</w:t>
            </w:r>
          </w:p>
        </w:tc>
        <w:tc>
          <w:tcPr>
            <w:tcW w:type="dxa" w:w="4608"/>
            <w:vAlign w:val="center"/>
            <w:shd w:fill="F2F5F7"/>
          </w:tcPr>
          <w:p>
            <w:pPr>
              <w:spacing w:after="0" w:line="252" w:lineRule="auto"/>
            </w:pPr>
            <w:r>
              <w:rPr>
                <w:rFonts w:ascii="Calibri" w:hAnsi="Calibri"/>
                <w:sz w:val="20"/>
              </w:rPr>
              <w:t>Needs clarification</w:t>
              <w:br/>
              <w:t>Ask which agreement and whether the user means the financing term, final repayment date, or an installment due date.</w:t>
            </w:r>
          </w:p>
        </w:tc>
        <w:tc>
          <w:tcPr>
            <w:tcW w:type="dxa" w:w="1224"/>
            <w:vAlign w:val="center"/>
            <w:shd w:fill="F2F5F7"/>
          </w:tcPr>
          <w:p>
            <w:pPr>
              <w:spacing w:after="0" w:line="252" w:lineRule="auto"/>
              <w:jc w:val="center"/>
            </w:pPr>
            <w:r>
              <w:rPr>
                <w:rFonts w:ascii="Calibri" w:hAnsi="Calibri"/>
                <w:sz w:val="20"/>
              </w:rPr>
              <w:t>—</w:t>
            </w:r>
          </w:p>
        </w:tc>
      </w:tr>
      <w:tr>
        <w:trPr>
          <w:cantSplit/>
        </w:trPr>
        <w:tc>
          <w:tcPr>
            <w:tcW w:type="dxa" w:w="605"/>
            <w:vAlign w:val="center"/>
            <w:shd w:fill="FFFFFF"/>
          </w:tcPr>
          <w:p>
            <w:pPr>
              <w:spacing w:after="0" w:line="252" w:lineRule="auto"/>
              <w:jc w:val="center"/>
            </w:pPr>
            <w:r>
              <w:rPr>
                <w:rFonts w:ascii="Calibri" w:hAnsi="Calibri"/>
                <w:sz w:val="20"/>
              </w:rPr>
              <w:t>Q18</w:t>
            </w:r>
          </w:p>
        </w:tc>
        <w:tc>
          <w:tcPr>
            <w:tcW w:type="dxa" w:w="3787"/>
            <w:vAlign w:val="center"/>
            <w:shd w:fill="FFFFFF"/>
          </w:tcPr>
          <w:p>
            <w:pPr>
              <w:spacing w:after="0" w:line="252" w:lineRule="auto"/>
            </w:pPr>
            <w:r>
              <w:rPr>
                <w:rFonts w:ascii="Calibri" w:hAnsi="Calibri"/>
                <w:sz w:val="20"/>
              </w:rPr>
              <w:t>What is my current outstanding balance?</w:t>
              <w:br/>
              <w:t>Scope: C1</w:t>
            </w:r>
          </w:p>
        </w:tc>
        <w:tc>
          <w:tcPr>
            <w:tcW w:type="dxa" w:w="4608"/>
            <w:vAlign w:val="center"/>
            <w:shd w:fill="FFFFFF"/>
          </w:tcPr>
          <w:p>
            <w:pPr>
              <w:spacing w:after="0" w:line="252" w:lineRule="auto"/>
            </w:pPr>
            <w:r>
              <w:rPr>
                <w:rFonts w:ascii="Calibri" w:hAnsi="Calibri"/>
                <w:sz w:val="20"/>
              </w:rPr>
              <w:t>Insufficient evidence</w:t>
              <w:br/>
              <w:t>Insufficient evidence: a signed contract's original financed amount does not establish a current account balance.</w:t>
            </w:r>
          </w:p>
        </w:tc>
        <w:tc>
          <w:tcPr>
            <w:tcW w:type="dxa" w:w="1224"/>
            <w:vAlign w:val="center"/>
            <w:shd w:fill="FFFFFF"/>
          </w:tcPr>
          <w:p>
            <w:pPr>
              <w:spacing w:after="0" w:line="252" w:lineRule="auto"/>
              <w:jc w:val="center"/>
            </w:pPr>
            <w:r>
              <w:rPr>
                <w:rFonts w:ascii="Calibri" w:hAnsi="Calibri"/>
                <w:sz w:val="20"/>
              </w:rPr>
              <w:t>—</w:t>
            </w:r>
          </w:p>
        </w:tc>
      </w:tr>
      <w:tr>
        <w:trPr>
          <w:cantSplit/>
        </w:trPr>
        <w:tc>
          <w:tcPr>
            <w:tcW w:type="dxa" w:w="605"/>
            <w:vAlign w:val="center"/>
            <w:shd w:fill="F2F5F7"/>
          </w:tcPr>
          <w:p>
            <w:pPr>
              <w:spacing w:after="0" w:line="252" w:lineRule="auto"/>
              <w:jc w:val="center"/>
            </w:pPr>
            <w:r>
              <w:rPr>
                <w:rFonts w:ascii="Calibri" w:hAnsi="Calibri"/>
                <w:sz w:val="20"/>
              </w:rPr>
              <w:t>Q19</w:t>
            </w:r>
          </w:p>
        </w:tc>
        <w:tc>
          <w:tcPr>
            <w:tcW w:type="dxa" w:w="3787"/>
            <w:vAlign w:val="center"/>
            <w:shd w:fill="F2F5F7"/>
          </w:tcPr>
          <w:p>
            <w:pPr>
              <w:spacing w:after="0" w:line="252" w:lineRule="auto"/>
            </w:pPr>
            <w:r>
              <w:rPr>
                <w:rFonts w:ascii="Calibri" w:hAnsi="Calibri"/>
                <w:sz w:val="20"/>
              </w:rPr>
              <w:t>What is the final repayment date in Contract_1.pdf?</w:t>
              <w:br/>
              <w:t>Scope: C1</w:t>
            </w:r>
          </w:p>
        </w:tc>
        <w:tc>
          <w:tcPr>
            <w:tcW w:type="dxa" w:w="4608"/>
            <w:vAlign w:val="center"/>
            <w:shd w:fill="F2F5F7"/>
          </w:tcPr>
          <w:p>
            <w:pPr>
              <w:spacing w:after="0" w:line="252" w:lineRule="auto"/>
            </w:pPr>
            <w:r>
              <w:rPr>
                <w:rFonts w:ascii="Calibri" w:hAnsi="Calibri"/>
                <w:sz w:val="20"/>
              </w:rPr>
              <w:t>Insufficient evidence</w:t>
              <w:br/>
              <w:t>Insufficient evidence for an exact final repayment date. Do not calculate it from the signature date and an up-to-60-month term.</w:t>
            </w:r>
          </w:p>
        </w:tc>
        <w:tc>
          <w:tcPr>
            <w:tcW w:type="dxa" w:w="1224"/>
            <w:vAlign w:val="center"/>
            <w:shd w:fill="F2F5F7"/>
          </w:tcPr>
          <w:p>
            <w:pPr>
              <w:spacing w:after="0" w:line="252" w:lineRule="auto"/>
              <w:jc w:val="center"/>
            </w:pPr>
            <w:r>
              <w:rPr>
                <w:rFonts w:ascii="Calibri" w:hAnsi="Calibri"/>
                <w:sz w:val="20"/>
              </w:rPr>
              <w:t>Background only</w:t>
              <w:br/>
              <w:t>C1 p.2</w:t>
            </w:r>
          </w:p>
        </w:tc>
      </w:tr>
      <w:tr>
        <w:trPr>
          <w:cantSplit/>
        </w:trPr>
        <w:tc>
          <w:tcPr>
            <w:tcW w:type="dxa" w:w="605"/>
            <w:vAlign w:val="center"/>
            <w:shd w:fill="FFFFFF"/>
          </w:tcPr>
          <w:p>
            <w:pPr>
              <w:spacing w:after="0" w:line="252" w:lineRule="auto"/>
              <w:jc w:val="center"/>
            </w:pPr>
            <w:r>
              <w:rPr>
                <w:rFonts w:ascii="Calibri" w:hAnsi="Calibri"/>
                <w:sz w:val="20"/>
              </w:rPr>
              <w:t>Q20</w:t>
            </w:r>
          </w:p>
        </w:tc>
        <w:tc>
          <w:tcPr>
            <w:tcW w:type="dxa" w:w="3787"/>
            <w:vAlign w:val="center"/>
            <w:shd w:fill="FFFFFF"/>
          </w:tcPr>
          <w:p>
            <w:pPr>
              <w:spacing w:after="0" w:line="252" w:lineRule="auto"/>
            </w:pPr>
            <w:r>
              <w:rPr>
                <w:rFonts w:ascii="Calibri" w:hAnsi="Calibri"/>
                <w:sz w:val="20"/>
              </w:rPr>
              <w:t>Does the termination clause establish that breach is the only possible reason for termination?</w:t>
              <w:br/>
              <w:t>Scope: C1</w:t>
            </w:r>
          </w:p>
        </w:tc>
        <w:tc>
          <w:tcPr>
            <w:tcW w:type="dxa" w:w="4608"/>
            <w:vAlign w:val="center"/>
            <w:shd w:fill="FFFFFF"/>
          </w:tcPr>
          <w:p>
            <w:pPr>
              <w:spacing w:after="0" w:line="252" w:lineRule="auto"/>
            </w:pPr>
            <w:r>
              <w:rPr>
                <w:rFonts w:ascii="Calibri" w:hAnsi="Calibri"/>
                <w:sz w:val="20"/>
              </w:rPr>
              <w:t>Answer expected</w:t>
              <w:br/>
              <w:t>The clause establishes that breach results in termination and enforcement of guarantees regardless of notification. It does not establish exclusivity; do not assert all other termination grounds are excluded.</w:t>
            </w:r>
          </w:p>
        </w:tc>
        <w:tc>
          <w:tcPr>
            <w:tcW w:type="dxa" w:w="1224"/>
            <w:vAlign w:val="center"/>
            <w:shd w:fill="FFFFFF"/>
          </w:tcPr>
          <w:p>
            <w:pPr>
              <w:spacing w:after="0" w:line="252" w:lineRule="auto"/>
              <w:jc w:val="center"/>
            </w:pPr>
            <w:r>
              <w:rPr>
                <w:rFonts w:ascii="Calibri" w:hAnsi="Calibri"/>
                <w:sz w:val="20"/>
              </w:rPr>
              <w:t>C1 p.2</w:t>
            </w:r>
          </w:p>
        </w:tc>
      </w:tr>
    </w:tbl>
    <w:p>
      <w:r>
        <w:rPr>
          <w:b w:val="0"/>
          <w:i w:val="0"/>
          <w:sz w:val="20"/>
        </w:rPr>
        <w:t>For Q19, the financing-term clause is background evidence only. It does not establish a final repayment date. For Q20, the expectation is limited to what the cited clause establishes; it is not a claim that all possible termination rights have been identified.</w:t>
      </w:r>
    </w:p>
    <w:sectPr w:rsidR="00FC693F" w:rsidRPr="0006063C" w:rsidSect="00034616">
      <w:footerReference w:type="default" r:id="rId9"/>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Contract Lens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Lens Demo Guide</dc:title>
  <dc:subject>Demo transcript folder structure and 20 contract questions</dc:subject>
  <dc:creator/>
  <cp:keywords>RAG, LangChain, LangGraph, Pinecone, Streamlit, fintech contracts</cp:keywords>
  <dc:description>generated by python-docx</dc:description>
  <cp:lastModifiedBy/>
  <cp:revision>1</cp:revision>
  <dcterms:created xsi:type="dcterms:W3CDTF">2013-12-23T23:15:00Z</dcterms:created>
  <dcterms:modified xsi:type="dcterms:W3CDTF">2013-12-23T23:15:00Z</dcterms:modified>
  <cp:category/>
</cp:coreProperties>
</file>