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E3A5F"/>
          <w:sz w:val="56"/>
          <w:szCs w:val="56"/>
        </w:rPr>
        <w:t xml:space="preserve">MDRF / MLRF CONNECT</w:t>
      </w:r>
    </w:p>
    <w:p>
      <w:pPr>
        <w:pBdr>
          <w:bottom w:val="single" w:color="C8974E" w:sz="6" w:space="1"/>
        </w:pBdr>
        <w:spacing w:after="100"/>
        <w:jc w:val="center"/>
      </w:pPr>
      <w:r>
        <w:rPr>
          <w:rFonts w:ascii="Arial" w:cs="Arial" w:eastAsia="Arial" w:hAnsi="Arial"/>
          <w:color w:val="555555"/>
          <w:sz w:val="28"/>
          <w:szCs w:val="28"/>
        </w:rPr>
        <w:t xml:space="preserve">Meghalaya Research Fellows</w:t>
      </w:r>
    </w:p>
    <w:p>
      <w:pPr>
        <w:spacing w:before="600"/>
      </w:pPr>
    </w:p>
    <w:p>
      <w:pPr>
        <w:spacing w:after="600"/>
        <w:jc w:val="center"/>
      </w:pPr>
      <w:r>
        <w:rPr>
          <w:rFonts w:ascii="Arial" w:cs="Arial" w:eastAsia="Arial" w:hAnsi="Arial"/>
          <w:color w:val="C8974E"/>
          <w:sz w:val="32"/>
          <w:szCs w:val="32"/>
        </w:rPr>
        <w:t xml:space="preserve">Platform User Guide &amp; Reference Document</w:t>
      </w:r>
    </w:p>
    <w:p>
      <w:pPr>
        <w:spacing w:after="200"/>
        <w:jc w:val="center"/>
      </w:pPr>
      <w:r>
        <w:rPr>
          <w:rFonts w:ascii="Arial" w:cs="Arial" w:eastAsia="Arial" w:hAnsi="Arial"/>
          <w:color w:val="777777"/>
          <w:sz w:val="24"/>
          <w:szCs w:val="24"/>
        </w:rPr>
        <w:t xml:space="preserve">Standard Operating Procedures</w:t>
      </w:r>
    </w:p>
    <w:p>
      <w:pPr>
        <w:spacing w:before="2400"/>
      </w:pPr>
    </w:p>
    <w:p>
      <w:pPr>
        <w:spacing w:after="100"/>
        <w:jc w:val="center"/>
      </w:pPr>
      <w:r>
        <w:rPr>
          <w:rFonts w:ascii="Arial" w:cs="Arial" w:eastAsia="Arial" w:hAnsi="Arial"/>
          <w:color w:val="888888"/>
          <w:sz w:val="22"/>
          <w:szCs w:val="22"/>
        </w:rPr>
        <w:t xml:space="preserve">Version 1.0</w:t>
      </w:r>
    </w:p>
    <w:p>
      <w:pPr>
        <w:jc w:val="center"/>
      </w:pPr>
      <w:r>
        <w:rPr>
          <w:rFonts w:ascii="Arial" w:cs="Arial" w:eastAsia="Arial" w:hAnsi="Arial"/>
          <w:color w:val="888888"/>
          <w:sz w:val="22"/>
          <w:szCs w:val="22"/>
        </w:rPr>
        <w:t xml:space="preserve">July 2026</w:t>
      </w:r>
    </w:p>
    <w:p>
      <w:pPr>
        <w:sectPr>
          <w:pgSz w:w="11906" w:h="16838" w:orient="portrait"/>
          <w:pgMar w:top="1440" w:right="1440" w:bottom="1440" w:left="1440" w:header="708" w:footer="708" w:gutter="0"/>
          <w:pgNumType w:start="1"/>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Platform Overview</w:t>
      </w:r>
    </w:p>
    <w:p>
      <w:pPr>
        <w:spacing w:after="120"/>
      </w:pPr>
      <w:r>
        <w:rPr>
          <w:sz w:val="22"/>
          <w:szCs w:val="22"/>
        </w:rPr>
        <w:t xml:space="preserve">The MDRF/MLRF Connect platform is a web-based dashboard system for the Meghalaya Research Fellows program under the Government of Meghalaya. It provides distinct interfaces for Fellows, Coordinators, Directors, and System Administrators to manage field research activities, log submissions, compliance tracking, and program oversight.</w:t>
      </w:r>
    </w:p>
    <w:p>
      <w:pPr>
        <w:spacing w:after="120"/>
      </w:pPr>
      <w:r>
        <w:rPr>
          <w:sz w:val="22"/>
          <w:szCs w:val="22"/>
        </w:rPr>
        <w:t xml:space="preserve">The platform supports two parallel programs:</w:t>
      </w:r>
    </w:p>
    <w:p>
      <w:pPr>
        <w:pStyle w:val="ListParagraph"/>
        <w:numPr>
          <w:ilvl w:val="0"/>
          <w:numId w:val="2"/>
        </w:numPr>
        <w:spacing w:after="60"/>
      </w:pPr>
      <w:r>
        <w:rPr>
          <w:sz w:val="22"/>
          <w:szCs w:val="22"/>
        </w:rPr>
        <w:t xml:space="preserve">MDRF — Meghalaya Development Research Fellows</w:t>
      </w:r>
    </w:p>
    <w:p>
      <w:pPr>
        <w:pStyle w:val="ListParagraph"/>
        <w:numPr>
          <w:ilvl w:val="0"/>
          <w:numId w:val="2"/>
        </w:numPr>
        <w:spacing w:after="60"/>
      </w:pPr>
      <w:r>
        <w:rPr>
          <w:sz w:val="22"/>
          <w:szCs w:val="22"/>
        </w:rPr>
        <w:t xml:space="preserve">MLRF — Meghalaya Legislative Research Fellows (help MLAs with evidence-based public policy)</w:t>
      </w:r>
    </w:p>
    <w:p>
      <w:pPr>
        <w:spacing w:after="200"/>
      </w:pPr>
    </w:p>
    <w:p>
      <w:pPr>
        <w:pStyle w:val="Heading2"/>
      </w:pPr>
      <w:r>
        <w:t xml:space="preserve">1.1 Access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E3A5F" w:val="clear"/>
            <w:vAlign w:val="center"/>
          </w:tcPr>
          <w:p>
            <w:pPr>
              <w:jc w:val="center"/>
            </w:pPr>
            <w:r>
              <w:rPr>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E3A5F" w:val="clear"/>
            <w:vAlign w:val="center"/>
          </w:tcPr>
          <w:p>
            <w:pPr>
              <w:jc w:val="center"/>
            </w:pPr>
            <w:r>
              <w:rPr>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Platform URL</w:t>
            </w:r>
          </w:p>
        </w:tc>
        <w:tc>
          <w:tcPr>
            <w:tcW w:type="dxa" w:w="4680"/>
            <w:tcBorders>
              <w:top w:val="single" w:color="CCCCCC" w:sz="1"/>
              <w:left w:val="single" w:color="CCCCCC" w:sz="1"/>
              <w:bottom w:val="single" w:color="CCCCCC" w:sz="1"/>
              <w:right w:val="single" w:color="CCCCCC" w:sz="1"/>
            </w:tcBorders>
          </w:tcPr>
          <w:p>
            <w:r>
              <w:rPr>
                <w:sz w:val="20"/>
                <w:szCs w:val="20"/>
              </w:rPr>
              <w:t xml:space="preserve">https://mdrf-dashboard.vercel.app</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Supported Browsers</w:t>
            </w:r>
          </w:p>
        </w:tc>
        <w:tc>
          <w:tcPr>
            <w:tcW w:type="dxa" w:w="4680"/>
            <w:tcBorders>
              <w:top w:val="single" w:color="CCCCCC" w:sz="1"/>
              <w:left w:val="single" w:color="CCCCCC" w:sz="1"/>
              <w:bottom w:val="single" w:color="CCCCCC" w:sz="1"/>
              <w:right w:val="single" w:color="CCCCCC" w:sz="1"/>
            </w:tcBorders>
          </w:tcPr>
          <w:p>
            <w:r>
              <w:rPr>
                <w:sz w:val="20"/>
                <w:szCs w:val="20"/>
              </w:rPr>
              <w:t xml:space="preserve">Chrome, Firefox, Safari, Edge (latest versions)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Mobile Support</w:t>
            </w:r>
          </w:p>
        </w:tc>
        <w:tc>
          <w:tcPr>
            <w:tcW w:type="dxa" w:w="4680"/>
            <w:tcBorders>
              <w:top w:val="single" w:color="CCCCCC" w:sz="1"/>
              <w:left w:val="single" w:color="CCCCCC" w:sz="1"/>
              <w:bottom w:val="single" w:color="CCCCCC" w:sz="1"/>
              <w:right w:val="single" w:color="CCCCCC" w:sz="1"/>
            </w:tcBorders>
          </w:tcPr>
          <w:p>
            <w:r>
              <w:rPr>
                <w:sz w:val="20"/>
                <w:szCs w:val="20"/>
              </w:rPr>
              <w:t xml:space="preserve">Fully responsive — accessible on phones and tablets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Authentication</w:t>
            </w:r>
          </w:p>
        </w:tc>
        <w:tc>
          <w:tcPr>
            <w:tcW w:type="dxa" w:w="4680"/>
            <w:tcBorders>
              <w:top w:val="single" w:color="CCCCCC" w:sz="1"/>
              <w:left w:val="single" w:color="CCCCCC" w:sz="1"/>
              <w:bottom w:val="single" w:color="CCCCCC" w:sz="1"/>
              <w:right w:val="single" w:color="CCCCCC" w:sz="1"/>
            </w:tcBorders>
          </w:tcPr>
          <w:p>
            <w:r>
              <w:rPr>
                <w:sz w:val="20"/>
                <w:szCs w:val="20"/>
              </w:rPr>
              <w:t xml:space="preserve">Google OAuth + Email/Password via Firebase Auth</w:t>
            </w:r>
          </w:p>
        </w:tc>
      </w:tr>
    </w:tbl>
    <w:p>
      <w:pPr>
        <w:spacing w:after="200"/>
      </w:pPr>
    </w:p>
    <w:p>
      <w:pPr>
        <w:pStyle w:val="Heading2"/>
      </w:pPr>
      <w:r>
        <w:t xml:space="preserve">1.2 User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CCCCCC" w:sz="1"/>
              <w:left w:val="single" w:color="CCCCCC" w:sz="1"/>
              <w:bottom w:val="single" w:color="CCCCCC" w:sz="1"/>
              <w:right w:val="single" w:color="CCCCCC" w:sz="1"/>
            </w:tcBorders>
            <w:shd w:fill="1E3A5F" w:val="clear"/>
            <w:vAlign w:val="center"/>
          </w:tcPr>
          <w:p>
            <w:pPr>
              <w:jc w:val="center"/>
            </w:pPr>
            <w:r>
              <w:rPr>
                <w:b/>
                <w:bCs/>
                <w:color w:val="FFFFFF"/>
                <w:sz w:val="20"/>
                <w:szCs w:val="20"/>
              </w:rPr>
              <w:t xml:space="preserve">Role</w:t>
            </w:r>
          </w:p>
        </w:tc>
        <w:tc>
          <w:tcPr>
            <w:tcW w:type="dxa" w:w="4680"/>
            <w:tcBorders>
              <w:top w:val="single" w:color="CCCCCC" w:sz="1"/>
              <w:left w:val="single" w:color="CCCCCC" w:sz="1"/>
              <w:bottom w:val="single" w:color="CCCCCC" w:sz="1"/>
              <w:right w:val="single" w:color="CCCCCC" w:sz="1"/>
            </w:tcBorders>
            <w:shd w:fill="1E3A5F" w:val="clear"/>
            <w:vAlign w:val="center"/>
          </w:tcPr>
          <w:p>
            <w:pPr>
              <w:jc w:val="center"/>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Fellow</w:t>
            </w:r>
          </w:p>
        </w:tc>
        <w:tc>
          <w:tcPr>
            <w:tcW w:type="dxa" w:w="4680"/>
            <w:tcBorders>
              <w:top w:val="single" w:color="CCCCCC" w:sz="1"/>
              <w:left w:val="single" w:color="CCCCCC" w:sz="1"/>
              <w:bottom w:val="single" w:color="CCCCCC" w:sz="1"/>
              <w:right w:val="single" w:color="CCCCCC" w:sz="1"/>
            </w:tcBorders>
          </w:tcPr>
          <w:p>
            <w:r>
              <w:rPr>
                <w:sz w:val="20"/>
                <w:szCs w:val="20"/>
              </w:rPr>
              <w:t xml:space="preserve">Field researcher — submits logs, tracks weekly progress, views deadlines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MDRF Coordinator</w:t>
            </w:r>
          </w:p>
        </w:tc>
        <w:tc>
          <w:tcPr>
            <w:tcW w:type="dxa" w:w="4680"/>
            <w:tcBorders>
              <w:top w:val="single" w:color="CCCCCC" w:sz="1"/>
              <w:left w:val="single" w:color="CCCCCC" w:sz="1"/>
              <w:bottom w:val="single" w:color="CCCCCC" w:sz="1"/>
              <w:right w:val="single" w:color="CCCCCC" w:sz="1"/>
            </w:tcBorders>
          </w:tcPr>
          <w:p>
            <w:r>
              <w:rPr>
                <w:sz w:val="20"/>
                <w:szCs w:val="20"/>
              </w:rPr>
              <w:t xml:space="preserve">Oversees MDRF fellows in assigned districts — reviews logs, manages compliance</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MLRF Coordinator</w:t>
            </w:r>
          </w:p>
        </w:tc>
        <w:tc>
          <w:tcPr>
            <w:tcW w:type="dxa" w:w="4680"/>
            <w:tcBorders>
              <w:top w:val="single" w:color="CCCCCC" w:sz="1"/>
              <w:left w:val="single" w:color="CCCCCC" w:sz="1"/>
              <w:bottom w:val="single" w:color="CCCCCC" w:sz="1"/>
              <w:right w:val="single" w:color="CCCCCC" w:sz="1"/>
            </w:tcBorders>
          </w:tcPr>
          <w:p>
            <w:r>
              <w:rPr>
                <w:sz w:val="20"/>
                <w:szCs w:val="20"/>
              </w:rPr>
              <w:t xml:space="preserve">Oversees MLRF fellows (no district mapping — uses constituency data)</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Director</w:t>
            </w:r>
          </w:p>
        </w:tc>
        <w:tc>
          <w:tcPr>
            <w:tcW w:type="dxa" w:w="4680"/>
            <w:tcBorders>
              <w:top w:val="single" w:color="CCCCCC" w:sz="1"/>
              <w:left w:val="single" w:color="CCCCCC" w:sz="1"/>
              <w:bottom w:val="single" w:color="CCCCCC" w:sz="1"/>
              <w:right w:val="single" w:color="CCCCCC" w:sz="1"/>
            </w:tcBorders>
          </w:tcPr>
          <w:p>
            <w:r>
              <w:rPr>
                <w:sz w:val="20"/>
                <w:szCs w:val="20"/>
              </w:rPr>
              <w:t xml:space="preserve">Cross-program oversight — compliance dashboards, case management</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Admin</w:t>
            </w:r>
          </w:p>
        </w:tc>
        <w:tc>
          <w:tcPr>
            <w:tcW w:type="dxa" w:w="4680"/>
            <w:tcBorders>
              <w:top w:val="single" w:color="CCCCCC" w:sz="1"/>
              <w:left w:val="single" w:color="CCCCCC" w:sz="1"/>
              <w:bottom w:val="single" w:color="CCCCCC" w:sz="1"/>
              <w:right w:val="single" w:color="CCCCCC" w:sz="1"/>
            </w:tcBorders>
          </w:tcPr>
          <w:p>
            <w:r>
              <w:rPr>
                <w:sz w:val="20"/>
                <w:szCs w:val="20"/>
              </w:rPr>
              <w:t xml:space="preserve">Full system access — user management, program configuration</w:t>
            </w:r>
          </w:p>
        </w:tc>
      </w:tr>
    </w:tbl>
    <w:p>
      <w:pPr>
        <w:spacing w:after="200"/>
      </w:pPr>
    </w:p>
    <w:p>
      <w:pPr>
        <w:pStyle w:val="Heading2"/>
      </w:pPr>
      <w:r>
        <w:t xml:space="preserve">1.3 Technology Stack</w:t>
      </w:r>
    </w:p>
    <w:p>
      <w:pPr>
        <w:pStyle w:val="ListParagraph"/>
        <w:numPr>
          <w:ilvl w:val="0"/>
          <w:numId w:val="2"/>
        </w:numPr>
        <w:spacing w:after="60"/>
      </w:pPr>
      <w:r>
        <w:rPr>
          <w:sz w:val="22"/>
          <w:szCs w:val="22"/>
        </w:rPr>
        <w:t xml:space="preserve">Frontend: Next.js 14 (React) with TypeScript</w:t>
      </w:r>
    </w:p>
    <w:p>
      <w:pPr>
        <w:pStyle w:val="ListParagraph"/>
        <w:numPr>
          <w:ilvl w:val="0"/>
          <w:numId w:val="2"/>
        </w:numPr>
        <w:spacing w:after="60"/>
      </w:pPr>
      <w:r>
        <w:rPr>
          <w:sz w:val="22"/>
          <w:szCs w:val="22"/>
        </w:rPr>
        <w:t xml:space="preserve">Styling: Tailwind CSS (v3) with custom design system</w:t>
      </w:r>
    </w:p>
    <w:p>
      <w:pPr>
        <w:pStyle w:val="ListParagraph"/>
        <w:numPr>
          <w:ilvl w:val="0"/>
          <w:numId w:val="2"/>
        </w:numPr>
        <w:spacing w:after="60"/>
      </w:pPr>
      <w:r>
        <w:rPr>
          <w:sz w:val="22"/>
          <w:szCs w:val="22"/>
        </w:rPr>
        <w:t xml:space="preserve">Backend: Firebase Firestore (NoSQL database)</w:t>
      </w:r>
    </w:p>
    <w:p>
      <w:pPr>
        <w:pStyle w:val="ListParagraph"/>
        <w:numPr>
          <w:ilvl w:val="0"/>
          <w:numId w:val="2"/>
        </w:numPr>
        <w:spacing w:after="60"/>
      </w:pPr>
      <w:r>
        <w:rPr>
          <w:sz w:val="22"/>
          <w:szCs w:val="22"/>
        </w:rPr>
        <w:t xml:space="preserve">Authentication: Firebase Auth (Google OAuth + Email/Password)</w:t>
      </w:r>
    </w:p>
    <w:p>
      <w:pPr>
        <w:pStyle w:val="ListParagraph"/>
        <w:numPr>
          <w:ilvl w:val="0"/>
          <w:numId w:val="2"/>
        </w:numPr>
        <w:spacing w:after="60"/>
      </w:pPr>
      <w:r>
        <w:rPr>
          <w:sz w:val="22"/>
          <w:szCs w:val="22"/>
        </w:rPr>
        <w:t xml:space="preserve">Deployment: Vercel</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Platform Overview — Dashboard Landing Page ]</w:t>
            </w:r>
          </w:p>
          <w:p>
            <w:pPr>
              <w:spacing w:after="400"/>
              <w:jc w:val="center"/>
            </w:pPr>
            <w:r>
              <w:rPr>
                <w:i/>
                <w:iCs/>
                <w:color w:val="888888"/>
                <w:sz w:val="20"/>
                <w:szCs w:val="20"/>
              </w:rPr>
              <w:t xml:space="preserve">(Insert screenshot image here)</w:t>
            </w:r>
          </w:p>
        </w:tc>
      </w:tr>
    </w:tbl>
    <w:p>
      <w:r>
        <w:br w:type="page"/>
      </w:r>
    </w:p>
    <w:p>
      <w:pPr>
        <w:pStyle w:val="Heading1"/>
      </w:pPr>
      <w:r>
        <w:t xml:space="preserve">2. Login &amp; Authentication</w:t>
      </w:r>
    </w:p>
    <w:p>
      <w:pPr>
        <w:pStyle w:val="Heading2"/>
      </w:pPr>
      <w:r>
        <w:t xml:space="preserve">2.1 Login Page</w:t>
      </w:r>
    </w:p>
    <w:p>
      <w:pPr>
        <w:spacing w:after="120"/>
      </w:pPr>
      <w:r>
        <w:rPr>
          <w:sz w:val="22"/>
          <w:szCs w:val="22"/>
        </w:rPr>
        <w:t xml:space="preserve">The login page features a dark navy gradient background with gold overlay accents, animated geometric grid pattern, and a glass-effect card. It displays:</w:t>
      </w:r>
    </w:p>
    <w:p>
      <w:pPr>
        <w:pStyle w:val="ListParagraph"/>
        <w:numPr>
          <w:ilvl w:val="0"/>
          <w:numId w:val="2"/>
        </w:numPr>
        <w:spacing w:after="60"/>
      </w:pPr>
      <w:r>
        <w:rPr>
          <w:sz w:val="22"/>
          <w:szCs w:val="22"/>
        </w:rPr>
        <w:t xml:space="preserve">Brand title: MDRF/MLRF CONNECT</w:t>
      </w:r>
    </w:p>
    <w:p>
      <w:pPr>
        <w:pStyle w:val="ListParagraph"/>
        <w:numPr>
          <w:ilvl w:val="0"/>
          <w:numId w:val="2"/>
        </w:numPr>
        <w:spacing w:after="60"/>
      </w:pPr>
      <w:r>
        <w:rPr>
          <w:sz w:val="22"/>
          <w:szCs w:val="22"/>
        </w:rPr>
        <w:t xml:space="preserve">Subtitle: Meghalaya Research Fellows (white, semibold, high contrast)</w:t>
      </w:r>
    </w:p>
    <w:p>
      <w:pPr>
        <w:pStyle w:val="ListParagraph"/>
        <w:numPr>
          <w:ilvl w:val="0"/>
          <w:numId w:val="2"/>
        </w:numPr>
        <w:spacing w:after="60"/>
      </w:pPr>
      <w:r>
        <w:rPr>
          <w:sz w:val="22"/>
          <w:szCs w:val="22"/>
        </w:rPr>
        <w:t xml:space="preserve">Google Sign-In button</w:t>
      </w:r>
    </w:p>
    <w:p>
      <w:pPr>
        <w:pStyle w:val="ListParagraph"/>
        <w:numPr>
          <w:ilvl w:val="0"/>
          <w:numId w:val="2"/>
        </w:numPr>
        <w:spacing w:after="60"/>
      </w:pPr>
      <w:r>
        <w:rPr>
          <w:sz w:val="22"/>
          <w:szCs w:val="22"/>
        </w:rPr>
        <w:t xml:space="preserve">Email/Password toggle for alternative login</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Login Page — MDRF/MLRF CONNECT with Navy/Gold Theme ]</w:t>
            </w:r>
          </w:p>
          <w:p>
            <w:pPr>
              <w:spacing w:after="400"/>
              <w:jc w:val="center"/>
            </w:pPr>
            <w:r>
              <w:rPr>
                <w:i/>
                <w:iCs/>
                <w:color w:val="888888"/>
                <w:sz w:val="20"/>
                <w:szCs w:val="20"/>
              </w:rPr>
              <w:t xml:space="preserve">(Insert screenshot image here)</w:t>
            </w:r>
          </w:p>
        </w:tc>
      </w:tr>
    </w:tbl>
    <w:p>
      <w:pPr>
        <w:spacing w:after="200"/>
      </w:pPr>
    </w:p>
    <w:p>
      <w:pPr>
        <w:pStyle w:val="Heading2"/>
      </w:pPr>
      <w:r>
        <w:t xml:space="preserve">2.2 Login Procedure</w:t>
      </w:r>
    </w:p>
    <w:p>
      <w:pPr>
        <w:pStyle w:val="ListParagraph"/>
        <w:numPr>
          <w:ilvl w:val="0"/>
          <w:numId w:val="3"/>
        </w:numPr>
        <w:spacing w:after="60"/>
      </w:pPr>
      <w:r>
        <w:rPr>
          <w:sz w:val="22"/>
          <w:szCs w:val="22"/>
        </w:rPr>
        <w:t xml:space="preserve">Navigate to the platform URL using a supported browser.</w:t>
      </w:r>
    </w:p>
    <w:p>
      <w:pPr>
        <w:pStyle w:val="ListParagraph"/>
        <w:numPr>
          <w:ilvl w:val="0"/>
          <w:numId w:val="3"/>
        </w:numPr>
        <w:spacing w:after="60"/>
      </w:pPr>
      <w:r>
        <w:rPr>
          <w:sz w:val="22"/>
          <w:szCs w:val="22"/>
        </w:rPr>
        <w:t xml:space="preserve">Click Sign in with Google.</w:t>
      </w:r>
    </w:p>
    <w:p>
      <w:pPr>
        <w:pStyle w:val="ListParagraph"/>
        <w:numPr>
          <w:ilvl w:val="0"/>
          <w:numId w:val="3"/>
        </w:numPr>
        <w:spacing w:after="60"/>
      </w:pPr>
      <w:r>
        <w:rPr>
          <w:sz w:val="22"/>
          <w:szCs w:val="22"/>
        </w:rPr>
        <w:t xml:space="preserve">Select your authorized Google account (must be registered with the program).</w:t>
      </w:r>
    </w:p>
    <w:p>
      <w:pPr>
        <w:pStyle w:val="ListParagraph"/>
        <w:numPr>
          <w:ilvl w:val="0"/>
          <w:numId w:val="3"/>
        </w:numPr>
        <w:spacing w:after="60"/>
      </w:pPr>
      <w:r>
        <w:rPr>
          <w:sz w:val="22"/>
          <w:szCs w:val="22"/>
        </w:rPr>
        <w:t xml:space="preserve">Upon successful authentication, you will be redirected to your role-specific dashboard.</w:t>
      </w:r>
    </w:p>
    <w:p>
      <w:pPr>
        <w:pStyle w:val="ListParagraph"/>
        <w:numPr>
          <w:ilvl w:val="0"/>
          <w:numId w:val="3"/>
        </w:numPr>
        <w:spacing w:after="60"/>
      </w:pPr>
      <w:r>
        <w:rPr>
          <w:sz w:val="22"/>
          <w:szCs w:val="22"/>
        </w:rPr>
        <w:t xml:space="preserve">New users pending approval will see a Waiting for Approval page.</w:t>
      </w:r>
    </w:p>
    <w:p>
      <w:pPr>
        <w:spacing w:after="200"/>
      </w:pPr>
    </w:p>
    <w:p>
      <w:pPr>
        <w:pStyle w:val="Heading2"/>
      </w:pPr>
      <w:r>
        <w:t xml:space="preserve">2.3 Approval Workflow</w:t>
      </w:r>
    </w:p>
    <w:p>
      <w:pPr>
        <w:spacing w:after="120"/>
      </w:pPr>
      <w:r>
        <w:rPr>
          <w:sz w:val="22"/>
          <w:szCs w:val="22"/>
        </w:rPr>
        <w:t xml:space="preserve">New registrations require admin approval. Pending users see a dedicated waiting page. Admins can approve or reject users from the Admin Dashboard under the Users section.</w:t>
      </w:r>
    </w:p>
    <w:p>
      <w:r>
        <w:br w:type="page"/>
      </w:r>
    </w:p>
    <w:p>
      <w:pPr>
        <w:pStyle w:val="Heading1"/>
      </w:pPr>
      <w:r>
        <w:t xml:space="preserve">3. Dashboard &amp; Navigation</w:t>
      </w:r>
    </w:p>
    <w:p>
      <w:pPr>
        <w:pStyle w:val="Heading2"/>
      </w:pPr>
      <w:r>
        <w:t xml:space="preserve">3.1 Sidebar (Desktop)</w:t>
      </w:r>
    </w:p>
    <w:p>
      <w:pPr>
        <w:spacing w:after="120"/>
      </w:pPr>
      <w:r>
        <w:rPr>
          <w:sz w:val="22"/>
          <w:szCs w:val="22"/>
        </w:rPr>
        <w:t xml:space="preserve">The sidebar runs along the left side with a gradient navy background. It displays the platform crest/logo at the top, followed by navigation links. Active page links are highlighted with a gold accent and subtle glow animation.</w:t>
      </w:r>
    </w:p>
    <w:p>
      <w:pPr>
        <w:pStyle w:val="ListParagraph"/>
        <w:numPr>
          <w:ilvl w:val="0"/>
          <w:numId w:val="2"/>
        </w:numPr>
        <w:spacing w:after="60"/>
      </w:pPr>
      <w:r>
        <w:rPr>
          <w:sz w:val="22"/>
          <w:szCs w:val="22"/>
        </w:rPr>
        <w:t xml:space="preserve">Home — Dashboard overview with stats</w:t>
      </w:r>
    </w:p>
    <w:p>
      <w:pPr>
        <w:pStyle w:val="ListParagraph"/>
        <w:numPr>
          <w:ilvl w:val="0"/>
          <w:numId w:val="2"/>
        </w:numPr>
        <w:spacing w:after="60"/>
      </w:pPr>
      <w:r>
        <w:rPr>
          <w:sz w:val="22"/>
          <w:szCs w:val="22"/>
        </w:rPr>
        <w:t xml:space="preserve">Submit Log — Log submission form</w:t>
      </w:r>
    </w:p>
    <w:p>
      <w:pPr>
        <w:pStyle w:val="ListParagraph"/>
        <w:numPr>
          <w:ilvl w:val="0"/>
          <w:numId w:val="2"/>
        </w:numPr>
        <w:spacing w:after="60"/>
      </w:pPr>
      <w:r>
        <w:rPr>
          <w:sz w:val="22"/>
          <w:szCs w:val="22"/>
        </w:rPr>
        <w:t xml:space="preserve">My Logs — View submitted logs</w:t>
      </w:r>
    </w:p>
    <w:p>
      <w:pPr>
        <w:pStyle w:val="ListParagraph"/>
        <w:numPr>
          <w:ilvl w:val="0"/>
          <w:numId w:val="2"/>
        </w:numPr>
        <w:spacing w:after="60"/>
      </w:pPr>
      <w:r>
        <w:rPr>
          <w:sz w:val="22"/>
          <w:szCs w:val="22"/>
        </w:rPr>
        <w:t xml:space="preserve">Weekly Progress — Track weekly goals</w:t>
      </w:r>
    </w:p>
    <w:p>
      <w:pPr>
        <w:pStyle w:val="ListParagraph"/>
        <w:numPr>
          <w:ilvl w:val="0"/>
          <w:numId w:val="2"/>
        </w:numPr>
        <w:spacing w:after="60"/>
      </w:pPr>
      <w:r>
        <w:rPr>
          <w:sz w:val="22"/>
          <w:szCs w:val="22"/>
        </w:rPr>
        <w:t xml:space="preserve">Profile — User profile and settings</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Desktop — Sidebar Navigation ]</w:t>
            </w:r>
          </w:p>
          <w:p>
            <w:pPr>
              <w:spacing w:after="400"/>
              <w:jc w:val="center"/>
            </w:pPr>
            <w:r>
              <w:rPr>
                <w:i/>
                <w:iCs/>
                <w:color w:val="888888"/>
                <w:sz w:val="20"/>
                <w:szCs w:val="20"/>
              </w:rPr>
              <w:t xml:space="preserve">(Insert screenshot image here)</w:t>
            </w:r>
          </w:p>
        </w:tc>
      </w:tr>
    </w:tbl>
    <w:p>
      <w:pPr>
        <w:spacing w:after="200"/>
      </w:pPr>
    </w:p>
    <w:p>
      <w:pPr>
        <w:pStyle w:val="Heading2"/>
      </w:pPr>
      <w:r>
        <w:t xml:space="preserve">3.2 Mobile Navigation</w:t>
      </w:r>
    </w:p>
    <w:p>
      <w:pPr>
        <w:spacing w:after="120"/>
      </w:pPr>
      <w:r>
        <w:rPr>
          <w:sz w:val="22"/>
          <w:szCs w:val="22"/>
        </w:rPr>
        <w:t xml:space="preserve">On mobile devices, the sidebar is replaced by a bottom navigation bar with a glass-effect background and top header bar. Active items display a gold indicator bar above the icon with a scale animation.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Mobile — Bottom Navigation Bar ]</w:t>
            </w:r>
          </w:p>
          <w:p>
            <w:pPr>
              <w:spacing w:after="400"/>
              <w:jc w:val="center"/>
            </w:pPr>
            <w:r>
              <w:rPr>
                <w:i/>
                <w:iCs/>
                <w:color w:val="888888"/>
                <w:sz w:val="20"/>
                <w:szCs w:val="20"/>
              </w:rPr>
              <w:t xml:space="preserve">(Insert screenshot image here)</w:t>
            </w:r>
          </w:p>
        </w:tc>
      </w:tr>
    </w:tbl>
    <w:p>
      <w:pPr>
        <w:spacing w:after="200"/>
      </w:pPr>
    </w:p>
    <w:p>
      <w:pPr>
        <w:pStyle w:val="Heading2"/>
      </w:pPr>
      <w:r>
        <w:t xml:space="preserve">3.3 Layout Structure</w:t>
      </w:r>
    </w:p>
    <w:p>
      <w:pPr>
        <w:spacing w:after="120"/>
      </w:pPr>
      <w:r>
        <w:rPr>
          <w:sz w:val="22"/>
          <w:szCs w:val="22"/>
        </w:rPr>
        <w:t xml:space="preserve">The dashboard uses a two-column grid layout: left column (240px) for the sidebar, right column for page content. On mobile, it collapses to a single-column design with a top header bar plus bottom nav.</w:t>
      </w:r>
    </w:p>
    <w:p>
      <w:r>
        <w:br w:type="page"/>
      </w:r>
    </w:p>
    <w:p>
      <w:pPr>
        <w:pStyle w:val="Heading1"/>
      </w:pPr>
      <w:r>
        <w:t xml:space="preserve">4. Fellow Features</w:t>
      </w:r>
    </w:p>
    <w:p>
      <w:pPr>
        <w:spacing w:after="120"/>
      </w:pPr>
      <w:r>
        <w:rPr>
          <w:sz w:val="22"/>
          <w:szCs w:val="22"/>
        </w:rPr>
        <w:t xml:space="preserve">The Fellow dashboard is the primary interface for field researchers. It provides tools for logging activities, tracking progress, and managing weekly commitments.</w:t>
      </w:r>
    </w:p>
    <w:p>
      <w:pPr>
        <w:pStyle w:val="Heading2"/>
      </w:pPr>
      <w:r>
        <w:t xml:space="preserve">4.1 Dashboard Home</w:t>
      </w:r>
    </w:p>
    <w:p>
      <w:pPr>
        <w:spacing w:after="120"/>
      </w:pPr>
      <w:r>
        <w:rPr>
          <w:sz w:val="22"/>
          <w:szCs w:val="22"/>
        </w:rPr>
        <w:t xml:space="preserve">The home dashboard displays:</w:t>
      </w:r>
    </w:p>
    <w:p>
      <w:pPr>
        <w:pStyle w:val="ListParagraph"/>
        <w:numPr>
          <w:ilvl w:val="0"/>
          <w:numId w:val="2"/>
        </w:numPr>
        <w:spacing w:after="60"/>
      </w:pPr>
      <w:r>
        <w:rPr>
          <w:sz w:val="22"/>
          <w:szCs w:val="22"/>
        </w:rPr>
        <w:t xml:space="preserve">Welcome banner with weekly deadline countdown</w:t>
      </w:r>
    </w:p>
    <w:p>
      <w:pPr>
        <w:pStyle w:val="ListParagraph"/>
        <w:numPr>
          <w:ilvl w:val="0"/>
          <w:numId w:val="2"/>
        </w:numPr>
        <w:spacing w:after="60"/>
      </w:pPr>
      <w:r>
        <w:rPr>
          <w:sz w:val="22"/>
          <w:szCs w:val="22"/>
        </w:rPr>
        <w:t xml:space="preserve">Stat cards showing key metrics (logs submitted, current streak, tasks completed)</w:t>
      </w:r>
    </w:p>
    <w:p>
      <w:pPr>
        <w:pStyle w:val="ListParagraph"/>
        <w:numPr>
          <w:ilvl w:val="0"/>
          <w:numId w:val="2"/>
        </w:numPr>
        <w:spacing w:after="60"/>
      </w:pPr>
      <w:r>
        <w:rPr>
          <w:sz w:val="22"/>
          <w:szCs w:val="22"/>
        </w:rPr>
        <w:t xml:space="preserve">Weekly progress bar tracking completion toward goals</w:t>
      </w:r>
    </w:p>
    <w:p>
      <w:pPr>
        <w:pStyle w:val="ListParagraph"/>
        <w:numPr>
          <w:ilvl w:val="0"/>
          <w:numId w:val="2"/>
        </w:numPr>
        <w:spacing w:after="60"/>
      </w:pPr>
      <w:r>
        <w:rPr>
          <w:sz w:val="22"/>
          <w:szCs w:val="22"/>
        </w:rPr>
        <w:t xml:space="preserve">Recent activity feed</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Fellow Dashboard — Home Overview ]</w:t>
            </w:r>
          </w:p>
          <w:p>
            <w:pPr>
              <w:spacing w:after="400"/>
              <w:jc w:val="center"/>
            </w:pPr>
            <w:r>
              <w:rPr>
                <w:i/>
                <w:iCs/>
                <w:color w:val="888888"/>
                <w:sz w:val="20"/>
                <w:szCs w:val="20"/>
              </w:rPr>
              <w:t xml:space="preserve">(Insert screenshot image here)</w:t>
            </w:r>
          </w:p>
        </w:tc>
      </w:tr>
    </w:tbl>
    <w:p>
      <w:pPr>
        <w:spacing w:after="200"/>
      </w:pPr>
    </w:p>
    <w:p>
      <w:pPr>
        <w:pStyle w:val="Heading2"/>
      </w:pPr>
      <w:r>
        <w:t xml:space="preserve">4.2 Log Submission</w:t>
      </w:r>
    </w:p>
    <w:p>
      <w:pPr>
        <w:spacing w:after="120"/>
      </w:pPr>
      <w:r>
        <w:rPr>
          <w:sz w:val="22"/>
          <w:szCs w:val="22"/>
        </w:rPr>
        <w:t xml:space="preserve">Fellows submit daily or weekly logs detailing research activities. The form includes date picker, activity description, location/constituency selectors, tags/categories, and optional attachments.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Log Submission Form ]</w:t>
            </w:r>
          </w:p>
          <w:p>
            <w:pPr>
              <w:spacing w:after="400"/>
              <w:jc w:val="center"/>
            </w:pPr>
            <w:r>
              <w:rPr>
                <w:i/>
                <w:iCs/>
                <w:color w:val="888888"/>
                <w:sz w:val="20"/>
                <w:szCs w:val="20"/>
              </w:rPr>
              <w:t xml:space="preserve">(Insert screenshot image here)</w:t>
            </w:r>
          </w:p>
        </w:tc>
      </w:tr>
    </w:tbl>
    <w:p>
      <w:pPr>
        <w:spacing w:after="200"/>
      </w:pPr>
    </w:p>
    <w:p>
      <w:pPr>
        <w:pStyle w:val="Heading2"/>
      </w:pPr>
      <w:r>
        <w:t xml:space="preserve">4.3 Weekly Progress &amp; Deadlines</w:t>
      </w:r>
    </w:p>
    <w:p>
      <w:pPr>
        <w:spacing w:after="120"/>
      </w:pPr>
      <w:r>
        <w:rPr>
          <w:sz w:val="22"/>
          <w:szCs w:val="22"/>
        </w:rPr>
        <w:t xml:space="preserve">A prominent banner at the top of the dashboard shows the current week's deadline. As the deadline approaches, the banner enters urgent mode with a pulsing icon. The weekly progress component shows target vs. achieved logs, a navy progress bar, and percentage completion.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Weekly Progress &amp; Deadline Banner ]</w:t>
            </w:r>
          </w:p>
          <w:p>
            <w:pPr>
              <w:spacing w:after="400"/>
              <w:jc w:val="center"/>
            </w:pPr>
            <w:r>
              <w:rPr>
                <w:i/>
                <w:iCs/>
                <w:color w:val="888888"/>
                <w:sz w:val="20"/>
                <w:szCs w:val="20"/>
              </w:rPr>
              <w:t xml:space="preserve">(Insert screenshot image here)</w:t>
            </w:r>
          </w:p>
        </w:tc>
      </w:tr>
    </w:tbl>
    <w:p>
      <w:r>
        <w:br w:type="page"/>
      </w:r>
    </w:p>
    <w:p>
      <w:pPr>
        <w:pStyle w:val="Heading1"/>
      </w:pPr>
      <w:r>
        <w:t xml:space="preserve">5. Coordinator Features</w:t>
      </w:r>
    </w:p>
    <w:p>
      <w:pPr>
        <w:spacing w:after="120"/>
      </w:pPr>
      <w:r>
        <w:rPr>
          <w:sz w:val="22"/>
          <w:szCs w:val="22"/>
        </w:rPr>
        <w:t xml:space="preserve">Coordinators oversee fellows in their assigned regions. Two distinct interfaces exist: one for MDRF (district-based) and one for MLRF (constituency-based, no district).</w:t>
      </w:r>
    </w:p>
    <w:p>
      <w:pPr>
        <w:pStyle w:val="Heading2"/>
      </w:pPr>
      <w:r>
        <w:t xml:space="preserve">5.1 MDRF Coordinator</w:t>
      </w:r>
    </w:p>
    <w:p>
      <w:pPr>
        <w:pStyle w:val="ListParagraph"/>
        <w:numPr>
          <w:ilvl w:val="0"/>
          <w:numId w:val="2"/>
        </w:numPr>
        <w:spacing w:after="60"/>
      </w:pPr>
      <w:r>
        <w:rPr>
          <w:sz w:val="22"/>
          <w:szCs w:val="22"/>
        </w:rPr>
        <w:t xml:space="preserve">District performance overview with compliance metrics</w:t>
      </w:r>
    </w:p>
    <w:p>
      <w:pPr>
        <w:pStyle w:val="ListParagraph"/>
        <w:numPr>
          <w:ilvl w:val="0"/>
          <w:numId w:val="2"/>
        </w:numPr>
        <w:spacing w:after="60"/>
      </w:pPr>
      <w:r>
        <w:rPr>
          <w:sz w:val="22"/>
          <w:szCs w:val="22"/>
        </w:rPr>
        <w:t xml:space="preserve">Fellow list grouped by district</w:t>
      </w:r>
    </w:p>
    <w:p>
      <w:pPr>
        <w:pStyle w:val="ListParagraph"/>
        <w:numPr>
          <w:ilvl w:val="0"/>
          <w:numId w:val="2"/>
        </w:numPr>
        <w:spacing w:after="60"/>
      </w:pPr>
      <w:r>
        <w:rPr>
          <w:sz w:val="22"/>
          <w:szCs w:val="22"/>
        </w:rPr>
        <w:t xml:space="preserve">Log review and approval workflow</w:t>
      </w:r>
    </w:p>
    <w:p>
      <w:pPr>
        <w:pStyle w:val="ListParagraph"/>
        <w:numPr>
          <w:ilvl w:val="0"/>
          <w:numId w:val="2"/>
        </w:numPr>
        <w:spacing w:after="60"/>
      </w:pPr>
      <w:r>
        <w:rPr>
          <w:sz w:val="22"/>
          <w:szCs w:val="22"/>
        </w:rPr>
        <w:t xml:space="preserve">Task assignment and tracking</w:t>
      </w:r>
    </w:p>
    <w:p>
      <w:pPr>
        <w:pStyle w:val="ListParagraph"/>
        <w:numPr>
          <w:ilvl w:val="0"/>
          <w:numId w:val="2"/>
        </w:numPr>
        <w:spacing w:after="60"/>
      </w:pPr>
      <w:r>
        <w:rPr>
          <w:sz w:val="22"/>
          <w:szCs w:val="22"/>
        </w:rPr>
        <w:t xml:space="preserve">Alerts for inactive fellows (no logs in 7+ days)</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MDRF Coordinator — District Overview ]</w:t>
            </w:r>
          </w:p>
          <w:p>
            <w:pPr>
              <w:spacing w:after="400"/>
              <w:jc w:val="center"/>
            </w:pPr>
            <w:r>
              <w:rPr>
                <w:i/>
                <w:iCs/>
                <w:color w:val="888888"/>
                <w:sz w:val="20"/>
                <w:szCs w:val="20"/>
              </w:rPr>
              <w:t xml:space="preserve">(Insert screenshot image here)</w:t>
            </w:r>
          </w:p>
        </w:tc>
      </w:tr>
    </w:tbl>
    <w:p>
      <w:pPr>
        <w:spacing w:after="200"/>
      </w:pPr>
    </w:p>
    <w:p>
      <w:pPr>
        <w:pStyle w:val="Heading2"/>
      </w:pPr>
      <w:r>
        <w:t xml:space="preserve">5.2 MLRF Coordinator</w:t>
      </w:r>
    </w:p>
    <w:p>
      <w:pPr>
        <w:spacing w:after="120"/>
      </w:pPr>
      <w:r>
        <w:rPr>
          <w:sz w:val="22"/>
          <w:szCs w:val="22"/>
        </w:rPr>
        <w:t xml:space="preserve">MLRF coordinators manage fellows by constituency. Features include a fellow activity table (name, constituencies, logs, streak, last active, status badge) with individual-level engagement metrics. No district performance table is shown.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MLRF Coordinator — Fellow Activity View ]</w:t>
            </w:r>
          </w:p>
          <w:p>
            <w:pPr>
              <w:spacing w:after="400"/>
              <w:jc w:val="center"/>
            </w:pPr>
            <w:r>
              <w:rPr>
                <w:i/>
                <w:iCs/>
                <w:color w:val="888888"/>
                <w:sz w:val="20"/>
                <w:szCs w:val="20"/>
              </w:rPr>
              <w:t xml:space="preserve">(Insert screenshot image here)</w:t>
            </w:r>
          </w:p>
        </w:tc>
      </w:tr>
    </w:tbl>
    <w:p>
      <w:pPr>
        <w:spacing w:after="200"/>
      </w:pPr>
    </w:p>
    <w:p>
      <w:pPr>
        <w:pStyle w:val="Heading2"/>
      </w:pPr>
      <w:r>
        <w:t xml:space="preserve">5.3 Alerts &amp; Notifications</w:t>
      </w:r>
    </w:p>
    <w:p>
      <w:pPr>
        <w:spacing w:after="120"/>
      </w:pPr>
      <w:r>
        <w:rPr>
          <w:sz w:val="22"/>
          <w:szCs w:val="22"/>
        </w:rPr>
        <w:t xml:space="preserve">The Coordinator Alerts panel highlights:</w:t>
      </w:r>
    </w:p>
    <w:p>
      <w:pPr>
        <w:pStyle w:val="ListParagraph"/>
        <w:numPr>
          <w:ilvl w:val="0"/>
          <w:numId w:val="2"/>
        </w:numPr>
        <w:spacing w:after="60"/>
      </w:pPr>
      <w:r>
        <w:rPr>
          <w:sz w:val="22"/>
          <w:szCs w:val="22"/>
        </w:rPr>
        <w:t xml:space="preserve">Inactive Fellows — no logs submitted in 7+ days</w:t>
      </w:r>
    </w:p>
    <w:p>
      <w:pPr>
        <w:pStyle w:val="ListParagraph"/>
        <w:numPr>
          <w:ilvl w:val="0"/>
          <w:numId w:val="2"/>
        </w:numPr>
        <w:spacing w:after="60"/>
      </w:pPr>
      <w:r>
        <w:rPr>
          <w:sz w:val="22"/>
          <w:szCs w:val="22"/>
        </w:rPr>
        <w:t xml:space="preserve">Stuck Tasks — items past their due dates</w:t>
      </w:r>
    </w:p>
    <w:p>
      <w:pPr>
        <w:pStyle w:val="ListParagraph"/>
        <w:numPr>
          <w:ilvl w:val="0"/>
          <w:numId w:val="2"/>
        </w:numPr>
        <w:spacing w:after="60"/>
      </w:pPr>
      <w:r>
        <w:rPr>
          <w:sz w:val="22"/>
          <w:szCs w:val="22"/>
        </w:rPr>
        <w:t xml:space="preserve">Urgent Requests — high-priority items requiring immediate action</w:t>
      </w:r>
    </w:p>
    <w:p>
      <w:r>
        <w:br w:type="page"/>
      </w:r>
    </w:p>
    <w:p>
      <w:pPr>
        <w:pStyle w:val="Heading1"/>
      </w:pPr>
      <w:r>
        <w:t xml:space="preserve">6. Director Features</w:t>
      </w:r>
    </w:p>
    <w:p>
      <w:pPr>
        <w:spacing w:after="120"/>
      </w:pPr>
      <w:r>
        <w:rPr>
          <w:sz w:val="22"/>
          <w:szCs w:val="22"/>
        </w:rPr>
        <w:t xml:space="preserve">The Director dashboard provides cross-program oversight with high-level compliance metrics and case management capabilities.</w:t>
      </w:r>
    </w:p>
    <w:p>
      <w:pPr>
        <w:pStyle w:val="Heading2"/>
      </w:pPr>
      <w:r>
        <w:t xml:space="preserve">6.1 Compliance Dashboard</w:t>
      </w:r>
    </w:p>
    <w:p>
      <w:pPr>
        <w:pStyle w:val="ListParagraph"/>
        <w:numPr>
          <w:ilvl w:val="0"/>
          <w:numId w:val="2"/>
        </w:numPr>
        <w:spacing w:after="60"/>
      </w:pPr>
      <w:r>
        <w:rPr>
          <w:sz w:val="22"/>
          <w:szCs w:val="22"/>
        </w:rPr>
        <w:t xml:space="preserve">Overall compliance rate across all fellows</w:t>
      </w:r>
    </w:p>
    <w:p>
      <w:pPr>
        <w:pStyle w:val="ListParagraph"/>
        <w:numPr>
          <w:ilvl w:val="0"/>
          <w:numId w:val="2"/>
        </w:numPr>
        <w:spacing w:after="60"/>
      </w:pPr>
      <w:r>
        <w:rPr>
          <w:sz w:val="22"/>
          <w:szCs w:val="22"/>
        </w:rPr>
        <w:t xml:space="preserve">Program-wise breakdown (MDRF vs MLRF)</w:t>
      </w:r>
    </w:p>
    <w:p>
      <w:pPr>
        <w:pStyle w:val="ListParagraph"/>
        <w:numPr>
          <w:ilvl w:val="0"/>
          <w:numId w:val="2"/>
        </w:numPr>
        <w:spacing w:after="60"/>
      </w:pPr>
      <w:r>
        <w:rPr>
          <w:sz w:val="22"/>
          <w:szCs w:val="22"/>
        </w:rPr>
        <w:t xml:space="preserve">Location-based compliance tables</w:t>
      </w:r>
    </w:p>
    <w:p>
      <w:pPr>
        <w:pStyle w:val="ListParagraph"/>
        <w:numPr>
          <w:ilvl w:val="0"/>
          <w:numId w:val="2"/>
        </w:numPr>
        <w:spacing w:after="60"/>
      </w:pPr>
      <w:r>
        <w:rPr>
          <w:sz w:val="22"/>
          <w:szCs w:val="22"/>
        </w:rPr>
        <w:t xml:space="preserve">Trend charts showing compliance over time</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Director — Compliance Dashboard ]</w:t>
            </w:r>
          </w:p>
          <w:p>
            <w:pPr>
              <w:spacing w:after="400"/>
              <w:jc w:val="center"/>
            </w:pPr>
            <w:r>
              <w:rPr>
                <w:i/>
                <w:iCs/>
                <w:color w:val="888888"/>
                <w:sz w:val="20"/>
                <w:szCs w:val="20"/>
              </w:rPr>
              <w:t xml:space="preserve">(Insert screenshot image here)</w:t>
            </w:r>
          </w:p>
        </w:tc>
      </w:tr>
    </w:tbl>
    <w:p>
      <w:pPr>
        <w:spacing w:after="200"/>
      </w:pPr>
    </w:p>
    <w:p>
      <w:pPr>
        <w:pStyle w:val="Heading2"/>
      </w:pPr>
      <w:r>
        <w:t xml:space="preserve">6.2 Case Management</w:t>
      </w:r>
    </w:p>
    <w:p>
      <w:pPr>
        <w:spacing w:after="120"/>
      </w:pPr>
      <w:r>
        <w:rPr>
          <w:sz w:val="22"/>
          <w:szCs w:val="22"/>
        </w:rPr>
        <w:t xml:space="preserve">Cases (escalated issues from coordinators) are managed through a dedicated interface with case list, priority indicators, discussion threads, status tracking, and assignment options.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Director — Case Management ]</w:t>
            </w:r>
          </w:p>
          <w:p>
            <w:pPr>
              <w:spacing w:after="400"/>
              <w:jc w:val="center"/>
            </w:pPr>
            <w:r>
              <w:rPr>
                <w:i/>
                <w:iCs/>
                <w:color w:val="888888"/>
                <w:sz w:val="20"/>
                <w:szCs w:val="20"/>
              </w:rPr>
              <w:t xml:space="preserve">(Insert screenshot image here)</w:t>
            </w:r>
          </w:p>
        </w:tc>
      </w:tr>
    </w:tbl>
    <w:p>
      <w:r>
        <w:br w:type="page"/>
      </w:r>
    </w:p>
    <w:p>
      <w:pPr>
        <w:pStyle w:val="Heading1"/>
      </w:pPr>
      <w:r>
        <w:t xml:space="preserve">7. Admin Features</w:t>
      </w:r>
    </w:p>
    <w:p>
      <w:pPr>
        <w:spacing w:after="120"/>
      </w:pPr>
      <w:r>
        <w:rPr>
          <w:sz w:val="22"/>
          <w:szCs w:val="22"/>
        </w:rPr>
        <w:t xml:space="preserve">The Admin panel provides full system management. Access is restricted to admin role users only.</w:t>
      </w:r>
    </w:p>
    <w:p>
      <w:pPr>
        <w:pStyle w:val="Heading2"/>
      </w:pPr>
      <w:r>
        <w:t xml:space="preserve">7.1 User Management</w:t>
      </w:r>
    </w:p>
    <w:p>
      <w:pPr>
        <w:pStyle w:val="ListParagraph"/>
        <w:numPr>
          <w:ilvl w:val="0"/>
          <w:numId w:val="2"/>
        </w:numPr>
        <w:spacing w:after="60"/>
      </w:pPr>
      <w:r>
        <w:rPr>
          <w:sz w:val="22"/>
          <w:szCs w:val="22"/>
        </w:rPr>
        <w:t xml:space="preserve">View all registered users with roles and status</w:t>
      </w:r>
    </w:p>
    <w:p>
      <w:pPr>
        <w:pStyle w:val="ListParagraph"/>
        <w:numPr>
          <w:ilvl w:val="0"/>
          <w:numId w:val="2"/>
        </w:numPr>
        <w:spacing w:after="60"/>
      </w:pPr>
      <w:r>
        <w:rPr>
          <w:sz w:val="22"/>
          <w:szCs w:val="22"/>
        </w:rPr>
        <w:t xml:space="preserve">Approve or reject pending registrations</w:t>
      </w:r>
    </w:p>
    <w:p>
      <w:pPr>
        <w:pStyle w:val="ListParagraph"/>
        <w:numPr>
          <w:ilvl w:val="0"/>
          <w:numId w:val="2"/>
        </w:numPr>
        <w:spacing w:after="60"/>
      </w:pPr>
      <w:r>
        <w:rPr>
          <w:sz w:val="22"/>
          <w:szCs w:val="22"/>
        </w:rPr>
        <w:t xml:space="preserve">Assign or change user roles</w:t>
      </w:r>
    </w:p>
    <w:p>
      <w:pPr>
        <w:pStyle w:val="ListParagraph"/>
        <w:numPr>
          <w:ilvl w:val="0"/>
          <w:numId w:val="2"/>
        </w:numPr>
        <w:spacing w:after="60"/>
      </w:pPr>
      <w:r>
        <w:rPr>
          <w:sz w:val="22"/>
          <w:szCs w:val="22"/>
        </w:rPr>
        <w:t xml:space="preserve">Enable/disable user accounts</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Admin — User Management ]</w:t>
            </w:r>
          </w:p>
          <w:p>
            <w:pPr>
              <w:spacing w:after="400"/>
              <w:jc w:val="center"/>
            </w:pPr>
            <w:r>
              <w:rPr>
                <w:i/>
                <w:iCs/>
                <w:color w:val="888888"/>
                <w:sz w:val="20"/>
                <w:szCs w:val="20"/>
              </w:rPr>
              <w:t xml:space="preserve">(Insert screenshot image here)</w:t>
            </w:r>
          </w:p>
        </w:tc>
      </w:tr>
    </w:tbl>
    <w:p>
      <w:pPr>
        <w:spacing w:after="200"/>
      </w:pPr>
    </w:p>
    <w:p>
      <w:pPr>
        <w:pStyle w:val="Heading2"/>
      </w:pPr>
      <w:r>
        <w:t xml:space="preserve">7.2 Program Views</w:t>
      </w:r>
    </w:p>
    <w:p>
      <w:pPr>
        <w:spacing w:after="100"/>
      </w:pPr>
      <w:r>
        <w:rPr>
          <w:b/>
          <w:bCs/>
          <w:sz w:val="22"/>
          <w:szCs w:val="22"/>
        </w:rPr>
        <w:t xml:space="preserve">MDRF View: </w:t>
      </w:r>
      <w:r>
        <w:rPr>
          <w:sz w:val="22"/>
          <w:szCs w:val="22"/>
        </w:rPr>
        <w:t xml:space="preserve">District Performance Table with compliance data per district.</w:t>
      </w:r>
    </w:p>
    <w:p>
      <w:pPr>
        <w:spacing w:after="100"/>
      </w:pPr>
      <w:r>
        <w:rPr>
          <w:b/>
          <w:bCs/>
          <w:sz w:val="22"/>
          <w:szCs w:val="22"/>
        </w:rPr>
        <w:t xml:space="preserve">MLRF View: </w:t>
      </w:r>
      <w:r>
        <w:rPr>
          <w:sz w:val="22"/>
          <w:szCs w:val="22"/>
        </w:rPr>
        <w:t xml:space="preserve">Fellow Activity Table showing individual engagement (name, constituencies, logs, streak, last active, status badge) plus Top Performing Fellows card.</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Admin — MLRF Fellow Activity Table ]</w:t>
            </w:r>
          </w:p>
          <w:p>
            <w:pPr>
              <w:spacing w:after="400"/>
              <w:jc w:val="center"/>
            </w:pPr>
            <w:r>
              <w:rPr>
                <w:i/>
                <w:iCs/>
                <w:color w:val="888888"/>
                <w:sz w:val="20"/>
                <w:szCs w:val="20"/>
              </w:rPr>
              <w:t xml:space="preserve">(Insert screenshot image here)</w:t>
            </w:r>
          </w:p>
        </w:tc>
      </w:tr>
    </w:tbl>
    <w:p>
      <w:r>
        <w:br w:type="page"/>
      </w:r>
    </w:p>
    <w:p>
      <w:pPr>
        <w:pStyle w:val="Heading1"/>
      </w:pPr>
      <w:r>
        <w:t xml:space="preserve">8. Design System</w:t>
      </w:r>
    </w:p>
    <w:p>
      <w:pPr>
        <w:spacing w:after="120"/>
      </w:pPr>
      <w:r>
        <w:rPr>
          <w:sz w:val="22"/>
          <w:szCs w:val="22"/>
        </w:rPr>
        <w:t xml:space="preserve">The platform uses a consistent design system based on navy and gold with professional typography and subtle animations. No AI-like features (quotations, streak displays) are present.</w:t>
      </w:r>
    </w:p>
    <w:p>
      <w:pPr>
        <w:pStyle w:val="Heading2"/>
      </w:pPr>
      <w:r>
        <w:t xml:space="preserve">8.1 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4680"/>
            <w:tcBorders>
              <w:top w:val="single" w:color="CCCCCC" w:sz="1"/>
              <w:left w:val="single" w:color="CCCCCC" w:sz="1"/>
              <w:bottom w:val="single" w:color="CCCCCC" w:sz="1"/>
              <w:right w:val="single" w:color="CCCCCC" w:sz="1"/>
            </w:tcBorders>
            <w:shd w:fill="1E3A5F" w:val="clear"/>
            <w:vAlign w:val="center"/>
          </w:tcPr>
          <w:p>
            <w:pPr>
              <w:jc w:val="center"/>
            </w:pPr>
            <w:r>
              <w:rPr>
                <w:b/>
                <w:bCs/>
                <w:color w:val="FFFFFF"/>
                <w:sz w:val="20"/>
                <w:szCs w:val="20"/>
              </w:rPr>
              <w:t xml:space="preserve">Token</w:t>
            </w:r>
          </w:p>
        </w:tc>
        <w:tc>
          <w:tcPr>
            <w:tcW w:type="dxa" w:w="4680"/>
            <w:tcBorders>
              <w:top w:val="single" w:color="CCCCCC" w:sz="1"/>
              <w:left w:val="single" w:color="CCCCCC" w:sz="1"/>
              <w:bottom w:val="single" w:color="CCCCCC" w:sz="1"/>
              <w:right w:val="single" w:color="CCCCCC" w:sz="1"/>
            </w:tcBorders>
            <w:shd w:fill="1E3A5F" w:val="clear"/>
            <w:vAlign w:val="center"/>
          </w:tcPr>
          <w:p>
            <w:pPr>
              <w:jc w:val="center"/>
            </w:pPr>
            <w:r>
              <w:rPr>
                <w:b/>
                <w:bCs/>
                <w:color w:val="FFFFFF"/>
                <w:sz w:val="20"/>
                <w:szCs w:val="20"/>
              </w:rPr>
              <w:t xml:space="preserve">Color</w:t>
            </w:r>
          </w:p>
        </w:tc>
        <w:tc>
          <w:tcPr>
            <w:tcW w:type="dxa" w:w="4680"/>
            <w:tcBorders>
              <w:top w:val="single" w:color="CCCCCC" w:sz="1"/>
              <w:left w:val="single" w:color="CCCCCC" w:sz="1"/>
              <w:bottom w:val="single" w:color="CCCCCC" w:sz="1"/>
              <w:right w:val="single" w:color="CCCCCC" w:sz="1"/>
            </w:tcBorders>
            <w:shd w:fill="1E3A5F" w:val="clear"/>
            <w:vAlign w:val="center"/>
          </w:tcPr>
          <w:p>
            <w:pPr>
              <w:jc w:val="center"/>
            </w:pPr>
            <w:r>
              <w:rPr>
                <w:b/>
                <w:bCs/>
                <w:color w:val="FFFFFF"/>
                <w:sz w:val="20"/>
                <w:szCs w:val="20"/>
              </w:rPr>
              <w:t xml:space="preserve">Usage</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Primary (Navy)</w:t>
            </w:r>
          </w:p>
        </w:tc>
        <w:tc>
          <w:tcPr>
            <w:tcW w:type="dxa" w:w="4680"/>
            <w:tcBorders>
              <w:top w:val="single" w:color="CCCCCC" w:sz="1"/>
              <w:left w:val="single" w:color="CCCCCC" w:sz="1"/>
              <w:bottom w:val="single" w:color="CCCCCC" w:sz="1"/>
              <w:right w:val="single" w:color="CCCCCC" w:sz="1"/>
            </w:tcBorders>
          </w:tcPr>
          <w:p>
            <w:r>
              <w:rPr>
                <w:sz w:val="20"/>
                <w:szCs w:val="20"/>
              </w:rPr>
              <w:t xml:space="preserve">#1E3A5F</w:t>
            </w:r>
          </w:p>
        </w:tc>
        <w:tc>
          <w:tcPr>
            <w:tcW w:type="dxa" w:w="4680"/>
            <w:tcBorders>
              <w:top w:val="single" w:color="CCCCCC" w:sz="1"/>
              <w:left w:val="single" w:color="CCCCCC" w:sz="1"/>
              <w:bottom w:val="single" w:color="CCCCCC" w:sz="1"/>
              <w:right w:val="single" w:color="CCCCCC" w:sz="1"/>
            </w:tcBorders>
          </w:tcPr>
          <w:p>
            <w:r>
              <w:rPr>
                <w:sz w:val="20"/>
                <w:szCs w:val="20"/>
              </w:rPr>
              <w:t xml:space="preserve">Headings, sidebar, buttons, active states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Accent (Gold)</w:t>
            </w:r>
          </w:p>
        </w:tc>
        <w:tc>
          <w:tcPr>
            <w:tcW w:type="dxa" w:w="4680"/>
            <w:tcBorders>
              <w:top w:val="single" w:color="CCCCCC" w:sz="1"/>
              <w:left w:val="single" w:color="CCCCCC" w:sz="1"/>
              <w:bottom w:val="single" w:color="CCCCCC" w:sz="1"/>
              <w:right w:val="single" w:color="CCCCCC" w:sz="1"/>
            </w:tcBorders>
          </w:tcPr>
          <w:p>
            <w:r>
              <w:rPr>
                <w:sz w:val="20"/>
                <w:szCs w:val="20"/>
              </w:rPr>
              <w:t xml:space="preserve">#C8974E</w:t>
            </w:r>
          </w:p>
        </w:tc>
        <w:tc>
          <w:tcPr>
            <w:tcW w:type="dxa" w:w="4680"/>
            <w:tcBorders>
              <w:top w:val="single" w:color="CCCCCC" w:sz="1"/>
              <w:left w:val="single" w:color="CCCCCC" w:sz="1"/>
              <w:bottom w:val="single" w:color="CCCCCC" w:sz="1"/>
              <w:right w:val="single" w:color="CCCCCC" w:sz="1"/>
            </w:tcBorders>
          </w:tcPr>
          <w:p>
            <w:r>
              <w:rPr>
                <w:sz w:val="20"/>
                <w:szCs w:val="20"/>
              </w:rPr>
              <w:t xml:space="preserve">Active indicators, highlights, accent borders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Gold Soft</w:t>
            </w:r>
          </w:p>
        </w:tc>
        <w:tc>
          <w:tcPr>
            <w:tcW w:type="dxa" w:w="4680"/>
            <w:tcBorders>
              <w:top w:val="single" w:color="CCCCCC" w:sz="1"/>
              <w:left w:val="single" w:color="CCCCCC" w:sz="1"/>
              <w:bottom w:val="single" w:color="CCCCCC" w:sz="1"/>
              <w:right w:val="single" w:color="CCCCCC" w:sz="1"/>
            </w:tcBorders>
          </w:tcPr>
          <w:p>
            <w:r>
              <w:rPr>
                <w:sz w:val="20"/>
                <w:szCs w:val="20"/>
              </w:rPr>
              <w:t xml:space="preserve">rgba(200,151,78,0.15)</w:t>
            </w:r>
          </w:p>
        </w:tc>
        <w:tc>
          <w:tcPr>
            <w:tcW w:type="dxa" w:w="4680"/>
            <w:tcBorders>
              <w:top w:val="single" w:color="CCCCCC" w:sz="1"/>
              <w:left w:val="single" w:color="CCCCCC" w:sz="1"/>
              <w:bottom w:val="single" w:color="CCCCCC" w:sz="1"/>
              <w:right w:val="single" w:color="CCCCCC" w:sz="1"/>
            </w:tcBorders>
          </w:tcPr>
          <w:p>
            <w:r>
              <w:rPr>
                <w:sz w:val="20"/>
                <w:szCs w:val="20"/>
              </w:rPr>
              <w:t xml:space="preserve">Subtle highlights, hover states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Background</w:t>
            </w:r>
          </w:p>
        </w:tc>
        <w:tc>
          <w:tcPr>
            <w:tcW w:type="dxa" w:w="4680"/>
            <w:tcBorders>
              <w:top w:val="single" w:color="CCCCCC" w:sz="1"/>
              <w:left w:val="single" w:color="CCCCCC" w:sz="1"/>
              <w:bottom w:val="single" w:color="CCCCCC" w:sz="1"/>
              <w:right w:val="single" w:color="CCCCCC" w:sz="1"/>
            </w:tcBorders>
          </w:tcPr>
          <w:p>
            <w:r>
              <w:rPr>
                <w:sz w:val="20"/>
                <w:szCs w:val="20"/>
              </w:rPr>
              <w:t xml:space="preserve">#F8F9FA</w:t>
            </w:r>
          </w:p>
        </w:tc>
        <w:tc>
          <w:tcPr>
            <w:tcW w:type="dxa" w:w="4680"/>
            <w:tcBorders>
              <w:top w:val="single" w:color="CCCCCC" w:sz="1"/>
              <w:left w:val="single" w:color="CCCCCC" w:sz="1"/>
              <w:bottom w:val="single" w:color="CCCCCC" w:sz="1"/>
              <w:right w:val="single" w:color="CCCCCC" w:sz="1"/>
            </w:tcBorders>
          </w:tcPr>
          <w:p>
            <w:r>
              <w:rPr>
                <w:sz w:val="20"/>
                <w:szCs w:val="20"/>
              </w:rPr>
              <w:t xml:space="preserve">Page backgrounds, card surfaces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Success</w:t>
            </w:r>
          </w:p>
        </w:tc>
        <w:tc>
          <w:tcPr>
            <w:tcW w:type="dxa" w:w="4680"/>
            <w:tcBorders>
              <w:top w:val="single" w:color="CCCCCC" w:sz="1"/>
              <w:left w:val="single" w:color="CCCCCC" w:sz="1"/>
              <w:bottom w:val="single" w:color="CCCCCC" w:sz="1"/>
              <w:right w:val="single" w:color="CCCCCC" w:sz="1"/>
            </w:tcBorders>
          </w:tcPr>
          <w:p>
            <w:r>
              <w:rPr>
                <w:sz w:val="20"/>
                <w:szCs w:val="20"/>
              </w:rPr>
              <w:t xml:space="preserve">#10B981</w:t>
            </w:r>
          </w:p>
        </w:tc>
        <w:tc>
          <w:tcPr>
            <w:tcW w:type="dxa" w:w="4680"/>
            <w:tcBorders>
              <w:top w:val="single" w:color="CCCCCC" w:sz="1"/>
              <w:left w:val="single" w:color="CCCCCC" w:sz="1"/>
              <w:bottom w:val="single" w:color="CCCCCC" w:sz="1"/>
              <w:right w:val="single" w:color="CCCCCC" w:sz="1"/>
            </w:tcBorders>
          </w:tcPr>
          <w:p>
            <w:r>
              <w:rPr>
                <w:sz w:val="20"/>
                <w:szCs w:val="20"/>
              </w:rPr>
              <w:t xml:space="preserve">Compliance, approved status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Warning</w:t>
            </w:r>
          </w:p>
        </w:tc>
        <w:tc>
          <w:tcPr>
            <w:tcW w:type="dxa" w:w="4680"/>
            <w:tcBorders>
              <w:top w:val="single" w:color="CCCCCC" w:sz="1"/>
              <w:left w:val="single" w:color="CCCCCC" w:sz="1"/>
              <w:bottom w:val="single" w:color="CCCCCC" w:sz="1"/>
              <w:right w:val="single" w:color="CCCCCC" w:sz="1"/>
            </w:tcBorders>
          </w:tcPr>
          <w:p>
            <w:r>
              <w:rPr>
                <w:sz w:val="20"/>
                <w:szCs w:val="20"/>
              </w:rPr>
              <w:t xml:space="preserve">#F59E0B</w:t>
            </w:r>
          </w:p>
        </w:tc>
        <w:tc>
          <w:tcPr>
            <w:tcW w:type="dxa" w:w="4680"/>
            <w:tcBorders>
              <w:top w:val="single" w:color="CCCCCC" w:sz="1"/>
              <w:left w:val="single" w:color="CCCCCC" w:sz="1"/>
              <w:bottom w:val="single" w:color="CCCCCC" w:sz="1"/>
              <w:right w:val="single" w:color="CCCCCC" w:sz="1"/>
            </w:tcBorders>
          </w:tcPr>
          <w:p>
            <w:r>
              <w:rPr>
                <w:sz w:val="20"/>
                <w:szCs w:val="20"/>
              </w:rPr>
              <w:t xml:space="preserve">Pending items, warnings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Error</w:t>
            </w:r>
          </w:p>
        </w:tc>
        <w:tc>
          <w:tcPr>
            <w:tcW w:type="dxa" w:w="4680"/>
            <w:tcBorders>
              <w:top w:val="single" w:color="CCCCCC" w:sz="1"/>
              <w:left w:val="single" w:color="CCCCCC" w:sz="1"/>
              <w:bottom w:val="single" w:color="CCCCCC" w:sz="1"/>
              <w:right w:val="single" w:color="CCCCCC" w:sz="1"/>
            </w:tcBorders>
          </w:tcPr>
          <w:p>
            <w:r>
              <w:rPr>
                <w:sz w:val="20"/>
                <w:szCs w:val="20"/>
              </w:rPr>
              <w:t xml:space="preserve">#EF4444</w:t>
            </w:r>
          </w:p>
        </w:tc>
        <w:tc>
          <w:tcPr>
            <w:tcW w:type="dxa" w:w="4680"/>
            <w:tcBorders>
              <w:top w:val="single" w:color="CCCCCC" w:sz="1"/>
              <w:left w:val="single" w:color="CCCCCC" w:sz="1"/>
              <w:bottom w:val="single" w:color="CCCCCC" w:sz="1"/>
              <w:right w:val="single" w:color="CCCCCC" w:sz="1"/>
            </w:tcBorders>
          </w:tcPr>
          <w:p>
            <w:r>
              <w:rPr>
                <w:sz w:val="20"/>
                <w:szCs w:val="20"/>
              </w:rPr>
              <w:t xml:space="preserve">Urgent alerts, rejections</w:t>
            </w:r>
          </w:p>
        </w:tc>
      </w:tr>
    </w:tbl>
    <w:p>
      <w:pPr>
        <w:spacing w:after="200"/>
      </w:pPr>
    </w:p>
    <w:p>
      <w:pPr>
        <w:pStyle w:val="Heading2"/>
      </w:pPr>
      <w:r>
        <w:t xml:space="preserve">8.2 Animations</w:t>
      </w:r>
    </w:p>
    <w:p>
      <w:pPr>
        <w:pStyle w:val="ListParagraph"/>
        <w:numPr>
          <w:ilvl w:val="0"/>
          <w:numId w:val="2"/>
        </w:numPr>
        <w:spacing w:after="60"/>
      </w:pPr>
      <w:r>
        <w:rPr>
          <w:sz w:val="22"/>
          <w:szCs w:val="22"/>
        </w:rPr>
        <w:t xml:space="preserve">Entrance: fadeUp, driftSlow, float for page load transitions</w:t>
      </w:r>
    </w:p>
    <w:p>
      <w:pPr>
        <w:pStyle w:val="ListParagraph"/>
        <w:numPr>
          <w:ilvl w:val="0"/>
          <w:numId w:val="2"/>
        </w:numPr>
        <w:spacing w:after="60"/>
      </w:pPr>
      <w:r>
        <w:rPr>
          <w:sz w:val="22"/>
          <w:szCs w:val="22"/>
        </w:rPr>
        <w:t xml:space="preserve">Interactive: pulseGlow on active nav items, hover lift on cards</w:t>
      </w:r>
    </w:p>
    <w:p>
      <w:pPr>
        <w:pStyle w:val="ListParagraph"/>
        <w:numPr>
          <w:ilvl w:val="0"/>
          <w:numId w:val="2"/>
        </w:numPr>
        <w:spacing w:after="60"/>
      </w:pPr>
      <w:r>
        <w:rPr>
          <w:sz w:val="22"/>
          <w:szCs w:val="22"/>
        </w:rPr>
        <w:t xml:space="preserve">Background: gradientSweep, shimmer on decorative elements</w:t>
      </w:r>
    </w:p>
    <w:p>
      <w:pPr>
        <w:pStyle w:val="ListParagraph"/>
        <w:numPr>
          <w:ilvl w:val="0"/>
          <w:numId w:val="2"/>
        </w:numPr>
        <w:spacing w:after="60"/>
      </w:pPr>
      <w:r>
        <w:rPr>
          <w:sz w:val="22"/>
          <w:szCs w:val="22"/>
        </w:rPr>
        <w:t xml:space="preserve">Alert: pulsing icons on urgent deadline banner</w:t>
      </w:r>
    </w:p>
    <w:p>
      <w:pPr>
        <w:spacing w:after="200"/>
      </w:pPr>
    </w:p>
    <w:p>
      <w:pPr>
        <w:pStyle w:val="Heading2"/>
      </w:pPr>
      <w:r>
        <w:t xml:space="preserve">8.3 Platform Crest</w:t>
      </w:r>
    </w:p>
    <w:p>
      <w:pPr>
        <w:spacing w:after="120"/>
      </w:pPr>
      <w:r>
        <w:rPr>
          <w:sz w:val="22"/>
          <w:szCs w:val="22"/>
        </w:rPr>
        <w:t xml:space="preserve">The platform logo is an SVG component featuring a shield with a book motif in navy and gold. Gold elements have an animated glow. The crest appears in the sidebar header and mobile navigation bar.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E3A5F" w:sz="2"/>
              <w:left w:val="dashed" w:color="1E3A5F" w:sz="2"/>
              <w:bottom w:val="dashed" w:color="1E3A5F" w:sz="2"/>
              <w:right w:val="dashed" w:color="1E3A5F" w:sz="2"/>
            </w:tcBorders>
            <w:shd w:fill="E8ECF0" w:val="clear"/>
            <w:vAlign w:val="center"/>
          </w:tcPr>
          <w:p>
            <w:pPr>
              <w:spacing w:after="100" w:before="400"/>
              <w:jc w:val="center"/>
            </w:pPr>
            <w:r>
              <w:rPr>
                <w:b/>
                <w:bCs/>
                <w:color w:val="1E3A5F"/>
                <w:sz w:val="26"/>
                <w:szCs w:val="26"/>
              </w:rPr>
              <w:t xml:space="preserve">[ SCREENSHOT: Platform Crest/Logo — Shield with Book Motif ]</w:t>
            </w:r>
          </w:p>
          <w:p>
            <w:pPr>
              <w:spacing w:after="400"/>
              <w:jc w:val="center"/>
            </w:pPr>
            <w:r>
              <w:rPr>
                <w:i/>
                <w:iCs/>
                <w:color w:val="888888"/>
                <w:sz w:val="20"/>
                <w:szCs w:val="20"/>
              </w:rPr>
              <w:t xml:space="preserve">(Insert screenshot image here)</w:t>
            </w:r>
          </w:p>
        </w:tc>
      </w:tr>
    </w:tbl>
    <w:p>
      <w:r>
        <w:br w:type="page"/>
      </w:r>
    </w:p>
    <w:p>
      <w:pPr>
        <w:pStyle w:val="Heading1"/>
      </w:pPr>
      <w:r>
        <w:t xml:space="preserve">9. Architecture Reference</w:t>
      </w:r>
    </w:p>
    <w:p>
      <w:pPr>
        <w:pStyle w:val="Heading2"/>
      </w:pPr>
      <w:r>
        <w:t xml:space="preserve">9.1 File Structure</w:t>
      </w:r>
    </w:p>
    <w:p>
      <w:pPr>
        <w:pStyle w:val="ListParagraph"/>
        <w:numPr>
          <w:ilvl w:val="0"/>
          <w:numId w:val="2"/>
        </w:numPr>
        <w:spacing w:after="60"/>
      </w:pPr>
      <w:r>
        <w:rPr>
          <w:sz w:val="22"/>
          <w:szCs w:val="22"/>
        </w:rPr>
        <w:t xml:space="preserve">src/app/ — Next.js page routes and layouts</w:t>
      </w:r>
    </w:p>
    <w:p>
      <w:pPr>
        <w:pStyle w:val="ListParagraph"/>
        <w:numPr>
          <w:ilvl w:val="0"/>
          <w:numId w:val="2"/>
        </w:numPr>
        <w:spacing w:after="60"/>
      </w:pPr>
      <w:r>
        <w:rPr>
          <w:sz w:val="22"/>
          <w:szCs w:val="22"/>
        </w:rPr>
        <w:t xml:space="preserve">src/components/ — Reusable UI components</w:t>
      </w:r>
    </w:p>
    <w:p>
      <w:pPr>
        <w:pStyle w:val="ListParagraph"/>
        <w:numPr>
          <w:ilvl w:val="0"/>
          <w:numId w:val="2"/>
        </w:numPr>
        <w:spacing w:after="60"/>
      </w:pPr>
      <w:r>
        <w:rPr>
          <w:sz w:val="22"/>
          <w:szCs w:val="22"/>
        </w:rPr>
        <w:t xml:space="preserve">src/lib/ — Firebase config, constants, utilities</w:t>
      </w:r>
    </w:p>
    <w:p>
      <w:pPr>
        <w:pStyle w:val="ListParagraph"/>
        <w:numPr>
          <w:ilvl w:val="0"/>
          <w:numId w:val="2"/>
        </w:numPr>
        <w:spacing w:after="60"/>
      </w:pPr>
      <w:r>
        <w:rPr>
          <w:sz w:val="22"/>
          <w:szCs w:val="22"/>
        </w:rPr>
        <w:t xml:space="preserve">src/types/ — TypeScript type definitions and data constants</w:t>
      </w:r>
    </w:p>
    <w:p>
      <w:pPr>
        <w:spacing w:after="200"/>
      </w:pPr>
    </w:p>
    <w:p>
      <w:pPr>
        <w:pStyle w:val="Heading2"/>
      </w:pPr>
      <w:r>
        <w:t xml:space="preserve">9.2 Key Architecture Decisions</w:t>
      </w:r>
    </w:p>
    <w:p>
      <w:pPr>
        <w:spacing w:after="100"/>
      </w:pPr>
      <w:r>
        <w:rPr>
          <w:b/>
          <w:bCs/>
          <w:sz w:val="22"/>
          <w:szCs w:val="22"/>
        </w:rPr>
        <w:t xml:space="preserve">District vs. Constituency: </w:t>
      </w:r>
      <w:r>
        <w:rPr>
          <w:sz w:val="22"/>
          <w:szCs w:val="22"/>
        </w:rPr>
        <w:t xml:space="preserve">MDRF uses district-based grouping for fellows and compliance. MLRF uses constituency data with no district mapping, reflecting different operational structures.</w:t>
      </w:r>
    </w:p>
    <w:p>
      <w:pPr>
        <w:spacing w:after="100"/>
      </w:pPr>
      <w:r>
        <w:rPr>
          <w:b/>
          <w:bCs/>
          <w:sz w:val="22"/>
          <w:szCs w:val="22"/>
        </w:rPr>
        <w:t xml:space="preserve">Authentication: </w:t>
      </w:r>
      <w:r>
        <w:rPr>
          <w:sz w:val="22"/>
          <w:szCs w:val="22"/>
        </w:rPr>
        <w:t xml:space="preserve">Firebase Auth with Google OAuth as primary method. Email/password fallback. New users require admin approval.</w:t>
      </w:r>
    </w:p>
    <w:p>
      <w:pPr>
        <w:spacing w:after="100"/>
      </w:pPr>
      <w:r>
        <w:rPr>
          <w:b/>
          <w:bCs/>
          <w:sz w:val="22"/>
          <w:szCs w:val="22"/>
        </w:rPr>
        <w:t xml:space="preserve">Responsive Design: </w:t>
      </w:r>
      <w:r>
        <w:rPr>
          <w:sz w:val="22"/>
          <w:szCs w:val="22"/>
        </w:rPr>
        <w:t xml:space="preserve">Desktop uses sidebar layout; mobile collapses to bottom nav bar with top header.</w:t>
      </w:r>
    </w:p>
    <w:p>
      <w:pPr>
        <w:spacing w:after="100"/>
      </w:pPr>
      <w:r>
        <w:rPr>
          <w:b/>
          <w:bCs/>
          <w:sz w:val="22"/>
          <w:szCs w:val="22"/>
        </w:rPr>
        <w:t xml:space="preserve">Program Differentiation: </w:t>
      </w:r>
      <w:r>
        <w:rPr>
          <w:sz w:val="22"/>
          <w:szCs w:val="22"/>
        </w:rPr>
        <w:t xml:space="preserve">MDRF and MLRF are separate programs with role-specific views. Coordinators are assigned per program.</w:t>
      </w:r>
    </w:p>
    <w:p>
      <w:r>
        <w:br w:type="page"/>
      </w:r>
    </w:p>
    <w:p>
      <w:pPr>
        <w:pStyle w:val="Heading1"/>
      </w:pPr>
      <w:r>
        <w:t xml:space="preserve">Appendix A: Troubleshooting</w:t>
      </w:r>
    </w:p>
    <w:p>
      <w:pPr>
        <w:pStyle w:val="Heading2"/>
      </w:pPr>
      <w:r>
        <w:t xml:space="preserve">Common Issues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E3A5F" w:val="clear"/>
            <w:vAlign w:val="center"/>
          </w:tcPr>
          <w:p>
            <w:pPr>
              <w:jc w:val="center"/>
            </w:pPr>
            <w:r>
              <w:rPr>
                <w:b/>
                <w:bCs/>
                <w:color w:val="FFFFFF"/>
                <w:sz w:val="20"/>
                <w:szCs w:val="20"/>
              </w:rPr>
              <w:t xml:space="preserve">Issue</w:t>
            </w:r>
          </w:p>
        </w:tc>
        <w:tc>
          <w:tcPr>
            <w:tcW w:type="dxa" w:w="4680"/>
            <w:tcBorders>
              <w:top w:val="single" w:color="CCCCCC" w:sz="1"/>
              <w:left w:val="single" w:color="CCCCCC" w:sz="1"/>
              <w:bottom w:val="single" w:color="CCCCCC" w:sz="1"/>
              <w:right w:val="single" w:color="CCCCCC" w:sz="1"/>
            </w:tcBorders>
            <w:shd w:fill="1E3A5F" w:val="clear"/>
            <w:vAlign w:val="center"/>
          </w:tcPr>
          <w:p>
            <w:pPr>
              <w:jc w:val="center"/>
            </w:pPr>
            <w:r>
              <w:rPr>
                <w:b/>
                <w:bCs/>
                <w:color w:val="FFFFFF"/>
                <w:sz w:val="20"/>
                <w:szCs w:val="20"/>
              </w:rPr>
              <w:t xml:space="preserve">Solution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Cannot log in</w:t>
            </w:r>
          </w:p>
        </w:tc>
        <w:tc>
          <w:tcPr>
            <w:tcW w:type="dxa" w:w="4680"/>
            <w:tcBorders>
              <w:top w:val="single" w:color="CCCCCC" w:sz="1"/>
              <w:left w:val="single" w:color="CCCCCC" w:sz="1"/>
              <w:bottom w:val="single" w:color="CCCCCC" w:sz="1"/>
              <w:right w:val="single" w:color="CCCCCC" w:sz="1"/>
            </w:tcBorders>
          </w:tcPr>
          <w:p>
            <w:r>
              <w:rPr>
                <w:sz w:val="20"/>
                <w:szCs w:val="20"/>
              </w:rPr>
              <w:t xml:space="preserve">Use a registered Google account. Contact admin if denied.</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Approval pending</w:t>
            </w:r>
          </w:p>
        </w:tc>
        <w:tc>
          <w:tcPr>
            <w:tcW w:type="dxa" w:w="4680"/>
            <w:tcBorders>
              <w:top w:val="single" w:color="CCCCCC" w:sz="1"/>
              <w:left w:val="single" w:color="CCCCCC" w:sz="1"/>
              <w:bottom w:val="single" w:color="CCCCCC" w:sz="1"/>
              <w:right w:val="single" w:color="CCCCCC" w:sz="1"/>
            </w:tcBorders>
          </w:tcPr>
          <w:p>
            <w:r>
              <w:rPr>
                <w:sz w:val="20"/>
                <w:szCs w:val="20"/>
              </w:rPr>
              <w:t xml:space="preserve">New accounts need admin approval. Check waiting page.</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Page not loading</w:t>
            </w:r>
          </w:p>
        </w:tc>
        <w:tc>
          <w:tcPr>
            <w:tcW w:type="dxa" w:w="4680"/>
            <w:tcBorders>
              <w:top w:val="single" w:color="CCCCCC" w:sz="1"/>
              <w:left w:val="single" w:color="CCCCCC" w:sz="1"/>
              <w:bottom w:val="single" w:color="CCCCCC" w:sz="1"/>
              <w:right w:val="single" w:color="CCCCCC" w:sz="1"/>
            </w:tcBorders>
          </w:tcPr>
          <w:p>
            <w:r>
              <w:rPr>
                <w:sz w:val="20"/>
                <w:szCs w:val="20"/>
              </w:rPr>
              <w:t xml:space="preserve">Clear cache and refresh. Use supported browser.</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Log submission failed</w:t>
            </w:r>
          </w:p>
        </w:tc>
        <w:tc>
          <w:tcPr>
            <w:tcW w:type="dxa" w:w="4680"/>
            <w:tcBorders>
              <w:top w:val="single" w:color="CCCCCC" w:sz="1"/>
              <w:left w:val="single" w:color="CCCCCC" w:sz="1"/>
              <w:bottom w:val="single" w:color="CCCCCC" w:sz="1"/>
              <w:right w:val="single" w:color="CCCCCC" w:sz="1"/>
            </w:tcBorders>
          </w:tcPr>
          <w:p>
            <w:r>
              <w:rPr>
                <w:sz w:val="20"/>
                <w:szCs w:val="20"/>
              </w:rPr>
              <w:t xml:space="preserve">Check connection. Fill all required fields.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Wrong role displayed</w:t>
            </w:r>
          </w:p>
        </w:tc>
        <w:tc>
          <w:tcPr>
            <w:tcW w:type="dxa" w:w="4680"/>
            <w:tcBorders>
              <w:top w:val="single" w:color="CCCCCC" w:sz="1"/>
              <w:left w:val="single" w:color="CCCCCC" w:sz="1"/>
              <w:bottom w:val="single" w:color="CCCCCC" w:sz="1"/>
              <w:right w:val="single" w:color="CCCCCC" w:sz="1"/>
            </w:tcBorders>
          </w:tcPr>
          <w:p>
            <w:r>
              <w:rPr>
                <w:sz w:val="20"/>
                <w:szCs w:val="20"/>
              </w:rPr>
              <w:t xml:space="preserve">Contact admin to verify role assignment.</w:t>
            </w:r>
          </w:p>
        </w:tc>
      </w:tr>
    </w:tbl>
    <w:p>
      <w:pPr>
        <w:spacing w:after="200"/>
      </w:pPr>
    </w:p>
    <w:p>
      <w:pPr>
        <w:pStyle w:val="Heading2"/>
      </w:pPr>
      <w:r>
        <w:t xml:space="preserve">Contact Support</w:t>
      </w:r>
    </w:p>
    <w:p>
      <w:pPr>
        <w:spacing w:after="120"/>
      </w:pPr>
      <w:r>
        <w:rPr>
          <w:sz w:val="22"/>
          <w:szCs w:val="22"/>
        </w:rPr>
        <w:t xml:space="preserve">For technical support, contact the system administrator or the Meghalaya Research Fellows program office.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74E" w:sz="2"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74E" w:sz="2" w:space="4"/>
      </w:pBdr>
      <w:jc w:val="right"/>
    </w:pPr>
    <w:r>
      <w:rPr>
        <w:i/>
        <w:iCs/>
        <w:color w:val="888888"/>
        <w:sz w:val="18"/>
        <w:szCs w:val="18"/>
      </w:rPr>
      <w:t xml:space="preserve">MDRF/MLRF Connect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1E3A5F"/>
      <w:sz w:val="52"/>
      <w:szCs w:val="52"/>
    </w:rPr>
  </w:style>
  <w:style w:type="paragraph" w:styleId="Heading1">
    <w:name w:val="Heading 1"/>
    <w:basedOn w:val="Normal"/>
    <w:next w:val="Normal"/>
    <w:qFormat/>
    <w:pPr>
      <w:spacing w:after="20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C897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2026-07-06T12:03:09.168Z</dcterms:created>
  <dcterms:modified xsi:type="dcterms:W3CDTF">2026-07-06T12:03:09.171Z</dcterms:modified>
</cp:coreProperties>
</file>

<file path=docProps/custom.xml><?xml version="1.0" encoding="utf-8"?>
<Properties xmlns="http://schemas.openxmlformats.org/officeDocument/2006/custom-properties" xmlns:vt="http://schemas.openxmlformats.org/officeDocument/2006/docPropsVTypes"/>
</file>