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b/>
          <w:bCs/>
          <w:color w:val="1a2c6e"/>
          <w:sz w:val="60"/>
          <w:szCs w:val="60"/>
        </w:rPr>
        <w:t xml:space="preserve">MDRF &amp; MLRF Connect</w:t>
      </w:r>
    </w:p>
    <w:p>
      <w:pPr>
        <w:jc w:val="center"/>
      </w:pPr>
      <w:r>
        <w:rPr>
          <w:color w:val="2d4a8a"/>
          <w:sz w:val="44"/>
          <w:szCs w:val="44"/>
        </w:rPr>
        <w:t xml:space="preserve">Platform Launch Document</w:t>
      </w:r>
    </w:p>
    <w:p>
      <w:pPr>
        <w:spacing w:before="600"/>
      </w:pPr>
    </w:p>
    <w:p>
      <w:pPr>
        <w:jc w:val="center"/>
      </w:pPr>
      <w:r>
        <w:rPr>
          <w:i/>
          <w:iCs/>
          <w:color w:val="555555"/>
          <w:sz w:val="24"/>
          <w:szCs w:val="24"/>
        </w:rPr>
        <w:t xml:space="preserve">Comprehensive guide covering architecture, roles, workflows, and go-live procedures.</w:t>
      </w:r>
    </w:p>
    <w:p>
      <w:pPr>
        <w:spacing w:before="1200"/>
      </w:pPr>
    </w:p>
    <w:p>
      <w:pPr>
        <w:jc w:val="center"/>
      </w:pPr>
      <w:r>
        <w:rPr>
          <w:color w:val="888888"/>
          <w:sz w:val="22"/>
          <w:szCs w:val="22"/>
        </w:rPr>
        <w:t xml:space="preserve">Version 1.0  |  July 2026</w:t>
      </w:r>
    </w:p>
    <w:p>
      <w:pPr>
        <w:jc w:val="center"/>
      </w:pPr>
      <w:r>
        <w:rPr>
          <w:color w:val="888888"/>
          <w:sz w:val="22"/>
          <w:szCs w:val="22"/>
        </w:rPr>
        <w:t xml:space="preserve">ISB — Indian School of Business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50" w:before="300"/>
      </w:pPr>
      <w:r>
        <w:t xml:space="preserve">1. Role System &amp; Theme Architecture</w:t>
      </w:r>
    </w:p>
    <w:p>
      <w:pPr>
        <w:spacing w:after="100"/>
      </w:pPr>
      <w:r>
        <w:t xml:space="preserve">Each role has a unique colour theme applied via CSS custom properties scoped by a data-role attribute on the dashboard wrapper. The themes control header gradient, sidebar, navigation accents, stat card colours, and button styles throughout the application.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6667500" cy="4572000"/>
            <wp:effectExtent t="0" r="0" b="0" l="0"/>
            <wp:docPr id="1" name="Role Hierarchy Diagram" descr="Role Hierarchy Diagram" title="Role Hierarch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/>
      </w:r>
    </w:p>
    <w:p>
      <w:pPr>
        <w:jc w:val="center"/>
      </w:pPr>
      <w:r>
        <w:rPr>
          <w:i/>
          <w:iCs/>
          <w:color w:val="666666"/>
          <w:sz w:val="20"/>
          <w:szCs w:val="20"/>
        </w:rPr>
        <w:t xml:space="preserve">Reporting lines: MDRF Fellow / Data Scientist / SRF → MDRF Coordinator | MLRF Fellow → MLRF Coordinator | Coordinators → Director → Admin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Authentication Flow</w:t>
      </w:r>
    </w:p>
    <w:p>
      <w:pPr>
        <w:spacing w:after="100"/>
      </w:pPr>
      <w:r>
        <w:t xml:space="preserve">Two sign-in methods: Email OTP (magic link, @isb.edu only) and Google Sign-In. New users enter pending approval until admin assigns role. DashboardLayout guards all routes.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7143750" cy="4762500"/>
            <wp:effectExtent t="0" r="0" b="0" l="0"/>
            <wp:docPr id="1" name="Authentication Flow" descr="Authentication Flow" title="Authentication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3. Work Log Workflow</w:t>
      </w:r>
    </w:p>
    <w:p>
      <w:pPr>
        <w:spacing w:after="100"/>
      </w:pPr>
      <w:r>
        <w:t xml:space="preserve">Fellows log weekly activities with category, status, activity description, output/deliverable, optional voice input, and file attachment. Each submission triggers streak tracking and weekly compliance calculation.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7143750" cy="5238750"/>
            <wp:effectExtent t="0" r="0" b="0" l="0"/>
            <wp:docPr id="1" name="Work Log Flow" descr="Work Log Flow" title="Work Log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Compliance Rules</w:t>
      </w:r>
    </w:p>
    <w:p>
      <w:pPr>
        <w:pStyle w:val="ListParagraph"/>
        <w:numPr>
          <w:ilvl w:val="0"/>
          <w:numId w:val="2"/>
        </w:numPr>
      </w:pPr>
      <w:r>
        <w:t xml:space="preserve">Weekly target: 5 logs per fellow</w:t>
      </w:r>
    </w:p>
    <w:p>
      <w:pPr>
        <w:pStyle w:val="ListParagraph"/>
        <w:numPr>
          <w:ilvl w:val="0"/>
          <w:numId w:val="2"/>
        </w:numPr>
      </w:pPr>
      <w:r>
        <w:t xml:space="preserve">Deadline: Sunday 6 PM IST</w:t>
      </w:r>
    </w:p>
    <w:p>
      <w:pPr>
        <w:pStyle w:val="ListParagraph"/>
        <w:numPr>
          <w:ilvl w:val="0"/>
          <w:numId w:val="2"/>
        </w:numPr>
      </w:pPr>
      <w:r>
        <w:t xml:space="preserve">Streak tracking: consecutive days with logs (48h threshold)</w:t>
      </w:r>
    </w:p>
    <w:p>
      <w:pPr>
        <w:pStyle w:val="ListParagraph"/>
        <w:numPr>
          <w:ilvl w:val="0"/>
          <w:numId w:val="2"/>
        </w:numPr>
      </w:pPr>
      <w:r>
        <w:t xml:space="preserve">Workload self-declaration: Under / Optimal / Over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Case Study Lifecycle</w:t>
      </w:r>
    </w:p>
    <w:p>
      <w:pPr>
        <w:spacing w:after="100"/>
      </w:pPr>
      <w:r>
        <w:t xml:space="preserve">5-state workflow: Draft → Submitted → Under Review → Approved → Published. SRF performs the full review workflow (Start Review → Approve/Return). Coordinators and Directors can publish.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7143750" cy="4762500"/>
            <wp:effectExtent t="0" r="0" b="0" l="0"/>
            <wp:docPr id="1" name="Case Study Workflow" descr="Case Study Workflow" title="Case Study Work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5. Support Request &amp; Notification System</w:t>
      </w:r>
    </w:p>
    <w:p>
      <w:pPr>
        <w:spacing w:after="100"/>
      </w:pPr>
      <w:r>
        <w:t xml:space="preserve">3-state pipeline (Open → In Progress → Resolved) with 6 categories and 3 urgency levels. Separate notification system handles expert help requests to Data Scientists and SRFs.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7143750" cy="4286250"/>
            <wp:effectExtent t="0" r="0" b="0" l="0"/>
            <wp:docPr id="1" name="Support Request Flow" descr="Support Request Flow" title="Support Request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6. Monthly Export Pipeline</w:t>
      </w:r>
    </w:p>
    <w:p>
      <w:pPr>
        <w:spacing w:after="100"/>
      </w:pPr>
      <w:r>
        <w:t xml:space="preserve">9-sheet Excel workbook from 7 parallel Firestore queries. Available on coordinator, director, and admin dashboards.</w:t>
      </w:r>
    </w:p>
    <w:p>
      <w:pPr>
        <w:spacing w:after="100"/>
      </w:pPr>
      <w:r>
        <w:t xml:space="preserve"/>
      </w:r>
    </w:p>
    <w:p>
      <w:pPr>
        <w:spacing w:after="200" w:before="200"/>
        <w:jc w:val="center"/>
      </w:pPr>
      <w:r>
        <w:drawing>
          <wp:inline distT="0" distB="0" distL="0" distR="0">
            <wp:extent cx="7620000" cy="4953000"/>
            <wp:effectExtent t="0" r="0" b="0" l="0"/>
            <wp:docPr id="1" name="Monthly Export Pipeline" descr="Monthly Export Pipeline" title="Monthly Export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7. Dashboard Mockups</w:t>
      </w:r>
    </w:p>
    <w:p>
      <w:pPr>
        <w:pStyle w:val="Heading2"/>
        <w:spacing w:after="150" w:before="300"/>
      </w:pPr>
      <w:r>
        <w:t xml:space="preserve">Fellow Dashboard</w:t>
      </w:r>
    </w:p>
    <w:p>
      <w:pPr>
        <w:spacing w:after="100"/>
      </w:pPr>
      <w:r>
        <w:t xml:space="preserve">Unified view: weekly progress, work log form, task list, course progress, recent activity, and support access.</w:t>
      </w:r>
    </w:p>
    <w:p>
      <w:pPr>
        <w:spacing w:after="200" w:before="200"/>
        <w:jc w:val="center"/>
      </w:pPr>
      <w:r>
        <w:drawing>
          <wp:inline distT="0" distB="0" distL="0" distR="0">
            <wp:extent cx="6667500" cy="4476750"/>
            <wp:effectExtent t="0" r="0" b="0" l="0"/>
            <wp:docPr id="1" name="Fellow Dashboard Mockup" descr="Fellow Dashboard Mockup" title="Fellow Dashboard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50" w:before="300"/>
      </w:pPr>
      <w:r>
        <w:t xml:space="preserve">Coordinator Overview</w:t>
      </w:r>
    </w:p>
    <w:p>
      <w:pPr>
        <w:spacing w:after="100"/>
      </w:pPr>
      <w:r>
        <w:t xml:space="preserve">Compliance-focused dashboard: stat cards, weekly compliance table, district breakdowns, weekly trends, and alert summaries.</w:t>
      </w:r>
    </w:p>
    <w:p>
      <w:pPr>
        <w:spacing w:after="200" w:before="200"/>
        <w:jc w:val="center"/>
      </w:pPr>
      <w:r>
        <w:drawing>
          <wp:inline distT="0" distB="0" distL="0" distR="0">
            <wp:extent cx="7143750" cy="4953000"/>
            <wp:effectExtent t="0" r="0" b="0" l="0"/>
            <wp:docPr id="1" name="Coordinator Overview Mockup" descr="Coordinator Overview Mockup" title="Coordinator Overview M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37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8. Quick Reference</w:t>
      </w:r>
    </w:p>
    <w:p>
      <w:pPr>
        <w:pStyle w:val="Heading2"/>
        <w:spacing w:after="150" w:before="300"/>
      </w:pPr>
      <w:r>
        <w:t xml:space="preserve">Firestore Collections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Collection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User profiles, roles,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workLogs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Fellow work entries, compliance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caseStudies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Case study documents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caseComments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Case study review comments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supportRequests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Fellow support tickets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Expert help request notifications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courseProgress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LMS course completion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workloadCheckins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Weekly workload self-declaration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tasks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Fellow task management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Bootstrap/admin assignment flag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99999"/>
        <w:sz w:val="18"/>
        <w:szCs w:val="18"/>
      </w:rPr>
      <w:t xml:space="preserve">MDRF/MLRF Connect — Launch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2c6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a2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d4a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a5a819034fcdcefb99c7a77a8265830dec6d776.png"/><Relationship Id="rId10" Type="http://schemas.openxmlformats.org/officeDocument/2006/relationships/image" Target="media/867a0b71e795c15f5b8d0f94e76d56b03d1017fc.png"/><Relationship Id="rId11" Type="http://schemas.openxmlformats.org/officeDocument/2006/relationships/image" Target="media/3867e657bc5977581385bf4abbed876d18f7539c.png"/><Relationship Id="rId12" Type="http://schemas.openxmlformats.org/officeDocument/2006/relationships/image" Target="media/56a369bbab5d7685f7e4ace6946c5472bcc2dcc8.png"/><Relationship Id="rId13" Type="http://schemas.openxmlformats.org/officeDocument/2006/relationships/image" Target="media/9f56398ad2e212421231456dc2ed1e40cf845e08.png"/><Relationship Id="rId14" Type="http://schemas.openxmlformats.org/officeDocument/2006/relationships/image" Target="media/f485d0e04f528281aec59fd258c0c3e3eeebb81b.png"/><Relationship Id="rId15" Type="http://schemas.openxmlformats.org/officeDocument/2006/relationships/image" Target="media/c98686b9844880833d667960bb8675bfc0fb842d.png"/><Relationship Id="rId16" Type="http://schemas.openxmlformats.org/officeDocument/2006/relationships/image" Target="media/c9f9f42cb815109075b69bbd6bd97be68cdb5b73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2026-07-09T12:02:19.594Z</dcterms:created>
  <dcterms:modified xsi:type="dcterms:W3CDTF">2026-07-09T12:02:19.596Z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