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2CB" w:rsidRPr="008412CB" w:rsidRDefault="008412CB" w:rsidP="008412CB">
      <w:pPr>
        <w:spacing w:after="100" w:afterAutospacing="1" w:line="324" w:lineRule="atLeast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27"/>
          <w:szCs w:val="27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kern w:val="36"/>
          <w:sz w:val="27"/>
          <w:szCs w:val="27"/>
        </w:rPr>
        <w:t>Regular Expression Quick Reference</w:t>
      </w:r>
    </w:p>
    <w:p w:rsidR="008412CB" w:rsidRPr="008412CB" w:rsidRDefault="008412CB" w:rsidP="008412CB">
      <w:pPr>
        <w:spacing w:before="450" w:after="0" w:line="240" w:lineRule="auto"/>
        <w:outlineLvl w:val="1"/>
        <w:rPr>
          <w:rFonts w:ascii="Verdana" w:eastAsia="Times New Roman" w:hAnsi="Verdana" w:cs="Times New Roman"/>
          <w:b/>
          <w:bCs/>
          <w:color w:val="000066"/>
          <w:sz w:val="23"/>
          <w:szCs w:val="23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sz w:val="23"/>
          <w:szCs w:val="23"/>
        </w:rPr>
        <w:t>Match pattern</w:t>
      </w:r>
    </w:p>
    <w:p w:rsidR="008412CB" w:rsidRPr="008412CB" w:rsidRDefault="008412CB" w:rsidP="008412CB">
      <w:pPr>
        <w:spacing w:before="100" w:beforeAutospacing="1" w:after="3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Special characters</w:t>
      </w: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6630"/>
      </w:tblGrid>
      <w:tr w:rsidR="008412CB" w:rsidRPr="008412CB" w:rsidTr="008412CB">
        <w:trPr>
          <w:tblCellSpacing w:w="15" w:type="dxa"/>
        </w:trPr>
        <w:tc>
          <w:tcPr>
            <w:tcW w:w="18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. ? + * ^ $ \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br/>
              <w:t>( ) [ ] { } |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Need to be escaped with a backslash (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) to match the actual character</w:t>
            </w:r>
          </w:p>
        </w:tc>
      </w:tr>
    </w:tbl>
    <w:p w:rsidR="008412CB" w:rsidRPr="008412CB" w:rsidRDefault="008412CB" w:rsidP="008412CB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Any other character matches itself</w:t>
      </w: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.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one of any character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Groups elements into a single element (also captures contents)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(?: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Groups elements into a single element (doesn’t captures contents)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|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|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one of the alternatives</w:t>
            </w:r>
          </w:p>
        </w:tc>
      </w:tr>
    </w:tbl>
    <w:p w:rsidR="008412CB" w:rsidRPr="008412CB" w:rsidRDefault="008412CB" w:rsidP="008412CB">
      <w:pPr>
        <w:spacing w:before="100" w:beforeAutospacing="1" w:after="3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Character classes</w:t>
      </w: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[</w:t>
            </w:r>
            <w:proofErr w:type="spellStart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abc</w:t>
            </w:r>
            <w:proofErr w:type="spellEnd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]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any character (same as 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</w:t>
            </w:r>
            <w:proofErr w:type="spellStart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a|b|c</w:t>
            </w:r>
            <w:proofErr w:type="spellEnd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[^</w:t>
            </w:r>
            <w:proofErr w:type="spellStart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abc</w:t>
            </w:r>
            <w:proofErr w:type="spellEnd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]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any other character</w:t>
            </w:r>
          </w:p>
        </w:tc>
      </w:tr>
    </w:tbl>
    <w:p w:rsidR="008412CB" w:rsidRPr="008412CB" w:rsidRDefault="008412CB" w:rsidP="008412CB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Only </w:t>
      </w:r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^ - \ ]</w:t>
      </w: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need to be escaped inside a character class</w:t>
      </w:r>
    </w:p>
    <w:p w:rsidR="008412CB" w:rsidRPr="008412CB" w:rsidRDefault="008412CB" w:rsidP="008412CB">
      <w:pPr>
        <w:numPr>
          <w:ilvl w:val="0"/>
          <w:numId w:val="2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May include simple ranges (</w:t>
      </w:r>
      <w:proofErr w:type="spellStart"/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eg</w:t>
      </w:r>
      <w:proofErr w:type="spellEnd"/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, </w:t>
      </w:r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[a-z123A-F]</w:t>
      </w: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)</w:t>
      </w: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\d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digits (same as 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[0-9]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\D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non-digits (same as 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[^0-9]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\w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alphanumeric (same as 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[a-zA-Z0-9_]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\W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non-alphanumeric (same as 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[^a-zA-Z0-9_]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\s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whitespace (same as 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[ ]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)*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\S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non-whitespace (same as 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[^ ]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)*</w:t>
            </w:r>
          </w:p>
        </w:tc>
      </w:tr>
    </w:tbl>
    <w:p w:rsidR="008412CB" w:rsidRPr="008412CB" w:rsidRDefault="008412CB" w:rsidP="008412CB">
      <w:pPr>
        <w:spacing w:before="150" w:after="0" w:line="240" w:lineRule="auto"/>
        <w:ind w:left="21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* In </w:t>
      </w:r>
      <w:proofErr w:type="spellStart"/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RegexRenamer</w:t>
      </w:r>
      <w:proofErr w:type="spellEnd"/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the only relevant whitespace character is the space character</w:t>
      </w:r>
    </w:p>
    <w:p w:rsidR="008412CB" w:rsidRPr="008412CB" w:rsidRDefault="008412CB" w:rsidP="008412CB">
      <w:pPr>
        <w:spacing w:before="100" w:beforeAutospacing="1" w:after="3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Anchors</w:t>
      </w:r>
    </w:p>
    <w:p w:rsidR="008412CB" w:rsidRPr="008412CB" w:rsidRDefault="008412CB" w:rsidP="008412CB">
      <w:pPr>
        <w:numPr>
          <w:ilvl w:val="0"/>
          <w:numId w:val="3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Anchors match the position between characters, not the characters themselves</w:t>
      </w: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^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the position at the beginning of the line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$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the position at the end of the line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\b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the position between a 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\w\W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or 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\W\w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(word boundary)*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\B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Matches the position between a 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\w\w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or 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\W\W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(non-word boundary)</w:t>
            </w:r>
          </w:p>
        </w:tc>
      </w:tr>
    </w:tbl>
    <w:p w:rsidR="008412CB" w:rsidRPr="008412CB" w:rsidRDefault="008412CB" w:rsidP="008412CB">
      <w:pPr>
        <w:spacing w:before="150" w:after="0" w:line="240" w:lineRule="auto"/>
        <w:ind w:left="21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* </w:t>
      </w:r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\b</w:t>
      </w: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also matches at the beginning and end of a line</w:t>
      </w:r>
    </w:p>
    <w:p w:rsidR="008412CB" w:rsidRPr="008412CB" w:rsidRDefault="008412CB" w:rsidP="008412CB">
      <w:pPr>
        <w:spacing w:before="100" w:beforeAutospacing="1" w:after="3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Quantifiers</w:t>
      </w:r>
    </w:p>
    <w:p w:rsidR="008412CB" w:rsidRPr="008412CB" w:rsidRDefault="008412CB" w:rsidP="008412CB">
      <w:pPr>
        <w:numPr>
          <w:ilvl w:val="0"/>
          <w:numId w:val="4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Quantifiers are normally greedy (match as much as possible)</w:t>
      </w:r>
    </w:p>
    <w:p w:rsidR="008412CB" w:rsidRPr="008412CB" w:rsidRDefault="008412CB" w:rsidP="008412CB">
      <w:pPr>
        <w:numPr>
          <w:ilvl w:val="0"/>
          <w:numId w:val="4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 xml:space="preserve">When followed </w:t>
      </w:r>
      <w:proofErr w:type="gramStart"/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by </w:t>
      </w:r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?</w:t>
      </w: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</w:t>
      </w:r>
      <w:proofErr w:type="gramEnd"/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they become lazy (match as little as possible)</w:t>
      </w: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lastRenderedPageBreak/>
              <w:t>?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previous element zero or one times (one if possible)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??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previous element zero or one times (zero if possible)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+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previous element one or more times (as many as possible)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+?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previous element one or more times (as few as possible)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*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previous element zero or more times (as many as possible)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*?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previous element zero or more times (as few as possible)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{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}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previous element exactly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times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{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,}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previous element at least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times (as many as possible)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{</w:t>
            </w:r>
            <w:proofErr w:type="gramStart"/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  <w:proofErr w:type="gramEnd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,}?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previous element at least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times (as few as possible)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{</w:t>
            </w:r>
            <w:proofErr w:type="spellStart"/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,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m</w:t>
            </w:r>
            <w:proofErr w:type="spellEnd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}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previous element between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-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m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times (as many as possible)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{</w:t>
            </w:r>
            <w:proofErr w:type="spellStart"/>
            <w:proofErr w:type="gramStart"/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,</w:t>
            </w:r>
            <w:proofErr w:type="gramEnd"/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m</w:t>
            </w:r>
            <w:proofErr w:type="spellEnd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}?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previous element between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-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m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times (as few as possible)</w:t>
            </w:r>
          </w:p>
        </w:tc>
      </w:tr>
    </w:tbl>
    <w:p w:rsidR="008412CB" w:rsidRPr="008412CB" w:rsidRDefault="008412CB" w:rsidP="008412CB">
      <w:pPr>
        <w:spacing w:before="100" w:beforeAutospacing="1" w:after="3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Unnamed captures</w:t>
      </w: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Capture text matched between parentheses to an unnamed capture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text in capture #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, captured earlier in the match pattern</w:t>
            </w:r>
          </w:p>
        </w:tc>
      </w:tr>
    </w:tbl>
    <w:p w:rsidR="008412CB" w:rsidRPr="008412CB" w:rsidRDefault="008412CB" w:rsidP="008412CB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The order of unnamed captures are defined by the order of the opening parentheses:</w:t>
      </w: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br/>
      </w:r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(</w:t>
      </w:r>
      <w:proofErr w:type="spellStart"/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reg</w:t>
      </w:r>
      <w:proofErr w:type="spellEnd"/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)</w:t>
      </w:r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ex</w:t>
      </w:r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((</w:t>
      </w:r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re</w:t>
      </w:r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)(</w:t>
      </w:r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name</w:t>
      </w:r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)</w:t>
      </w:r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r</w:t>
      </w:r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)</w:t>
      </w: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— #1 = </w:t>
      </w:r>
      <w:proofErr w:type="spellStart"/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reg</w:t>
      </w:r>
      <w:proofErr w:type="spellEnd"/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, #2 = </w:t>
      </w:r>
      <w:proofErr w:type="spellStart"/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renamer</w:t>
      </w:r>
      <w:proofErr w:type="spellEnd"/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, #3 = </w:t>
      </w:r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re</w:t>
      </w: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, #4 = </w:t>
      </w:r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name</w:t>
      </w:r>
    </w:p>
    <w:p w:rsidR="008412CB" w:rsidRPr="008412CB" w:rsidRDefault="008412CB" w:rsidP="008412CB">
      <w:pPr>
        <w:numPr>
          <w:ilvl w:val="0"/>
          <w:numId w:val="5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n</w:t>
      </w: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&gt; 9 is only available if you have more than 9 captures</w:t>
      </w:r>
    </w:p>
    <w:p w:rsidR="008412CB" w:rsidRPr="008412CB" w:rsidRDefault="008412CB" w:rsidP="008412CB">
      <w:pPr>
        <w:spacing w:before="100" w:beforeAutospacing="1" w:after="3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Named captures</w:t>
      </w: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proofErr w:type="gramStart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(?&lt;</w:t>
            </w:r>
            <w:proofErr w:type="gramEnd"/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foo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&gt;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Capture text matched between parentheses to a capture named “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foo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”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\&lt;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foo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Match the text in capture “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foo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”, captured earlier in the match pattern</w:t>
            </w:r>
          </w:p>
        </w:tc>
      </w:tr>
    </w:tbl>
    <w:p w:rsidR="008412CB" w:rsidRPr="008412CB" w:rsidRDefault="008412CB" w:rsidP="008412CB">
      <w:pPr>
        <w:spacing w:before="100" w:beforeAutospacing="1" w:after="3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</w:pPr>
      <w:proofErr w:type="spellStart"/>
      <w:r w:rsidRPr="008412C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Lookaround</w:t>
      </w:r>
      <w:proofErr w:type="spellEnd"/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(?=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 xml:space="preserve">Positive </w:t>
            </w:r>
            <w:proofErr w:type="spellStart"/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lookahead</w:t>
            </w:r>
            <w:proofErr w:type="spellEnd"/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 xml:space="preserve"> (match the position before the specified regex)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(?!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 xml:space="preserve">Negative </w:t>
            </w:r>
            <w:proofErr w:type="spellStart"/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lookahead</w:t>
            </w:r>
            <w:proofErr w:type="spellEnd"/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 xml:space="preserve"> (don’t match, as above)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(?&lt;=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 xml:space="preserve">Positive </w:t>
            </w:r>
            <w:proofErr w:type="spellStart"/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lookbehind</w:t>
            </w:r>
            <w:proofErr w:type="spellEnd"/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 xml:space="preserve"> (match the position after the specified regex)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(?&lt;!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 xml:space="preserve">Negative </w:t>
            </w:r>
            <w:proofErr w:type="spellStart"/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lookbehind</w:t>
            </w:r>
            <w:proofErr w:type="spellEnd"/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 xml:space="preserve"> (don't match, as above)</w:t>
            </w:r>
          </w:p>
        </w:tc>
      </w:tr>
    </w:tbl>
    <w:p w:rsidR="008412CB" w:rsidRPr="008412CB" w:rsidRDefault="008412CB" w:rsidP="008412CB">
      <w:pPr>
        <w:spacing w:before="100" w:beforeAutospacing="1" w:after="3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Alternation</w:t>
      </w: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6170"/>
      </w:tblGrid>
      <w:tr w:rsidR="008412CB" w:rsidRPr="008412CB" w:rsidTr="008412CB">
        <w:trPr>
          <w:tblCellSpacing w:w="15" w:type="dxa"/>
        </w:trPr>
        <w:tc>
          <w:tcPr>
            <w:tcW w:w="225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(?(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test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true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 xml:space="preserve">If positive </w:t>
            </w:r>
            <w:proofErr w:type="spellStart"/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lookahead</w:t>
            </w:r>
            <w:proofErr w:type="spellEnd"/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test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matches, match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true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regex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(?(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test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  <w:proofErr w:type="spellStart"/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true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|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false</w:t>
            </w:r>
            <w:proofErr w:type="spellEnd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As above, otherwise match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false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regex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(?(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capture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true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If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capture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(name or number) contains text, match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true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regex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(?(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capture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  <w:proofErr w:type="spellStart"/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true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|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false</w:t>
            </w:r>
            <w:proofErr w:type="spellEnd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As above, otherwise match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false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regex</w:t>
            </w:r>
          </w:p>
        </w:tc>
      </w:tr>
    </w:tbl>
    <w:p w:rsidR="008412CB" w:rsidRPr="008412CB" w:rsidRDefault="008412CB" w:rsidP="008412CB">
      <w:pPr>
        <w:spacing w:before="100" w:beforeAutospacing="1" w:after="3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Inline modifiers</w:t>
      </w: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x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Turn on modifier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x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until the end of the containing group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(?-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x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Turn off modifier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x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until the end of the containing group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proofErr w:type="gramStart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x</w:t>
            </w:r>
            <w:proofErr w:type="gramEnd"/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: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Turn on modifier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x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for the section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(?-</w:t>
            </w:r>
            <w:proofErr w:type="gramStart"/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x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:</w:t>
            </w:r>
            <w:proofErr w:type="gramEnd"/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...</w:t>
            </w:r>
            <w:r w:rsidRPr="008412CB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Turn off modifier 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x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for the section</w:t>
            </w:r>
          </w:p>
        </w:tc>
      </w:tr>
    </w:tbl>
    <w:p w:rsidR="008412CB" w:rsidRPr="008412CB" w:rsidRDefault="008412CB" w:rsidP="008412CB">
      <w:pPr>
        <w:numPr>
          <w:ilvl w:val="0"/>
          <w:numId w:val="6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proofErr w:type="spellStart"/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Relevent</w:t>
      </w:r>
      <w:proofErr w:type="spellEnd"/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</w:t>
      </w:r>
      <w:hyperlink r:id="rId5" w:history="1">
        <w:r w:rsidRPr="008412CB">
          <w:rPr>
            <w:rFonts w:ascii="Verdana" w:eastAsia="Times New Roman" w:hAnsi="Verdana" w:cs="Times New Roman"/>
            <w:color w:val="0002DF"/>
            <w:sz w:val="18"/>
            <w:szCs w:val="18"/>
          </w:rPr>
          <w:t>modifiers</w:t>
        </w:r>
      </w:hyperlink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are </w:t>
      </w:r>
      <w:proofErr w:type="spellStart"/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i</w:t>
      </w:r>
      <w:proofErr w:type="spellEnd"/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(ignore case) and </w:t>
      </w:r>
      <w:r w:rsidRPr="008412CB">
        <w:rPr>
          <w:rFonts w:ascii="Courier New" w:eastAsia="Times New Roman" w:hAnsi="Courier New" w:cs="Courier New"/>
          <w:color w:val="FF0000"/>
          <w:sz w:val="21"/>
          <w:szCs w:val="21"/>
        </w:rPr>
        <w:t>x</w:t>
      </w: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(extended regex).</w:t>
      </w:r>
    </w:p>
    <w:p w:rsidR="008412CB" w:rsidRPr="008412CB" w:rsidRDefault="008412CB" w:rsidP="008412CB">
      <w:pPr>
        <w:numPr>
          <w:ilvl w:val="0"/>
          <w:numId w:val="6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You may group more than one modifier together</w:t>
      </w:r>
    </w:p>
    <w:p w:rsidR="008412CB" w:rsidRPr="008412CB" w:rsidRDefault="008412CB" w:rsidP="008412CB">
      <w:pPr>
        <w:spacing w:before="450" w:after="0" w:line="240" w:lineRule="auto"/>
        <w:outlineLvl w:val="1"/>
        <w:rPr>
          <w:rFonts w:ascii="Verdana" w:eastAsia="Times New Roman" w:hAnsi="Verdana" w:cs="Times New Roman"/>
          <w:b/>
          <w:bCs/>
          <w:color w:val="000066"/>
          <w:sz w:val="23"/>
          <w:szCs w:val="23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sz w:val="23"/>
          <w:szCs w:val="23"/>
        </w:rPr>
        <w:lastRenderedPageBreak/>
        <w:t>Replace pattern</w:t>
      </w:r>
    </w:p>
    <w:p w:rsidR="008412CB" w:rsidRPr="008412CB" w:rsidRDefault="008412CB" w:rsidP="008412CB">
      <w:pPr>
        <w:spacing w:before="150" w:after="0" w:line="240" w:lineRule="auto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Any text other than the variables below will be replaced as-is.</w:t>
      </w:r>
    </w:p>
    <w:p w:rsidR="008412CB" w:rsidRPr="008412CB" w:rsidRDefault="008412CB" w:rsidP="008412CB">
      <w:pPr>
        <w:spacing w:before="100" w:beforeAutospacing="1" w:after="30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b/>
          <w:bCs/>
          <w:color w:val="000066"/>
          <w:sz w:val="18"/>
          <w:szCs w:val="18"/>
        </w:rPr>
        <w:t>Special variables</w:t>
      </w: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Insert the contents of unnamed capture #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n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${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foo</w:t>
            </w: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}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Insert the contents of named capture “</w:t>
            </w:r>
            <w:r w:rsidRPr="008412CB">
              <w:rPr>
                <w:rFonts w:ascii="Verdana" w:eastAsia="Times New Roman" w:hAnsi="Verdana" w:cs="Times New Roman"/>
                <w:i/>
                <w:iCs/>
                <w:color w:val="000066"/>
                <w:sz w:val="18"/>
                <w:szCs w:val="18"/>
              </w:rPr>
              <w:t>foo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”</w:t>
            </w:r>
          </w:p>
        </w:tc>
      </w:tr>
    </w:tbl>
    <w:p w:rsidR="008412CB" w:rsidRPr="008412CB" w:rsidRDefault="008412CB" w:rsidP="008412CB">
      <w:pPr>
        <w:spacing w:after="0" w:line="240" w:lineRule="auto"/>
        <w:rPr>
          <w:rFonts w:ascii="Verdana" w:eastAsia="Times New Roman" w:hAnsi="Verdana" w:cs="Times New Roman"/>
          <w:vanish/>
          <w:color w:val="000066"/>
          <w:sz w:val="18"/>
          <w:szCs w:val="18"/>
        </w:rPr>
      </w:pP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$0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Insert all text matched in the regex (automatic unnamed capture)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$`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</w:t>
            </w:r>
            <w:r w:rsidRPr="008412CB">
              <w:rPr>
                <w:rFonts w:ascii="Verdana" w:eastAsia="Times New Roman" w:hAnsi="Verdana" w:cs="Times New Roman"/>
                <w:color w:val="000066"/>
                <w:sz w:val="14"/>
                <w:szCs w:val="14"/>
              </w:rPr>
              <w:t>(</w:t>
            </w:r>
            <w:proofErr w:type="spellStart"/>
            <w:r w:rsidRPr="008412CB">
              <w:rPr>
                <w:rFonts w:ascii="Verdana" w:eastAsia="Times New Roman" w:hAnsi="Verdana" w:cs="Times New Roman"/>
                <w:color w:val="000066"/>
                <w:sz w:val="14"/>
                <w:szCs w:val="14"/>
              </w:rPr>
              <w:t>backtick</w:t>
            </w:r>
            <w:proofErr w:type="spellEnd"/>
            <w:r w:rsidRPr="008412CB">
              <w:rPr>
                <w:rFonts w:ascii="Verdana" w:eastAsia="Times New Roman" w:hAnsi="Verdana" w:cs="Times New Roman"/>
                <w:color w:val="000066"/>
                <w:sz w:val="14"/>
                <w:szCs w:val="14"/>
              </w:rPr>
              <w:t>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Insert text before </w:t>
            </w: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$0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$'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</w:t>
            </w:r>
            <w:r w:rsidRPr="008412CB">
              <w:rPr>
                <w:rFonts w:ascii="Verdana" w:eastAsia="Times New Roman" w:hAnsi="Verdana" w:cs="Times New Roman"/>
                <w:color w:val="000066"/>
                <w:sz w:val="14"/>
                <w:szCs w:val="14"/>
              </w:rPr>
              <w:t>(single-quote)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Insert text after </w:t>
            </w: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$0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$_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Insert the entire original filename (same as </w:t>
            </w: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$`$0$'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)</w:t>
            </w:r>
          </w:p>
        </w:tc>
      </w:tr>
    </w:tbl>
    <w:p w:rsidR="008412CB" w:rsidRPr="008412CB" w:rsidRDefault="008412CB" w:rsidP="008412CB">
      <w:pPr>
        <w:spacing w:after="0" w:line="240" w:lineRule="auto"/>
        <w:rPr>
          <w:rFonts w:ascii="Verdana" w:eastAsia="Times New Roman" w:hAnsi="Verdana" w:cs="Times New Roman"/>
          <w:vanish/>
          <w:color w:val="000066"/>
          <w:sz w:val="18"/>
          <w:szCs w:val="18"/>
        </w:rPr>
      </w:pPr>
    </w:p>
    <w:tbl>
      <w:tblPr>
        <w:tblW w:w="84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930"/>
      </w:tblGrid>
      <w:tr w:rsidR="008412CB" w:rsidRPr="008412CB" w:rsidTr="008412CB">
        <w:trPr>
          <w:tblCellSpacing w:w="15" w:type="dxa"/>
        </w:trPr>
        <w:tc>
          <w:tcPr>
            <w:tcW w:w="1500" w:type="dxa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$#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Insert a number sequence (see </w:t>
            </w:r>
            <w:hyperlink r:id="rId6" w:anchor="Numbering" w:history="1">
              <w:r w:rsidRPr="008412CB">
                <w:rPr>
                  <w:rFonts w:ascii="Verdana" w:eastAsia="Times New Roman" w:hAnsi="Verdana" w:cs="Times New Roman"/>
                  <w:color w:val="0002DF"/>
                  <w:sz w:val="18"/>
                  <w:szCs w:val="18"/>
                </w:rPr>
                <w:t>Numbering</w:t>
              </w:r>
            </w:hyperlink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)</w:t>
            </w:r>
          </w:p>
        </w:tc>
      </w:tr>
      <w:tr w:rsidR="008412CB" w:rsidRPr="008412CB" w:rsidTr="008412CB">
        <w:trPr>
          <w:tblCellSpacing w:w="15" w:type="dxa"/>
        </w:trPr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$$</w:t>
            </w:r>
          </w:p>
        </w:tc>
        <w:tc>
          <w:tcPr>
            <w:tcW w:w="0" w:type="auto"/>
            <w:shd w:val="clear" w:color="auto" w:fill="ECF5FF"/>
            <w:vAlign w:val="center"/>
            <w:hideMark/>
          </w:tcPr>
          <w:p w:rsidR="008412CB" w:rsidRPr="008412CB" w:rsidRDefault="008412CB" w:rsidP="008412CB">
            <w:pPr>
              <w:spacing w:after="0" w:line="225" w:lineRule="atLeast"/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</w:pP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Insert an actual $ character (therefore, </w:t>
            </w:r>
            <w:r w:rsidRPr="008412CB">
              <w:rPr>
                <w:rFonts w:ascii="Courier New" w:eastAsia="Times New Roman" w:hAnsi="Courier New" w:cs="Courier New"/>
                <w:color w:val="FF8000"/>
                <w:sz w:val="21"/>
                <w:szCs w:val="21"/>
              </w:rPr>
              <w:t>$$#</w:t>
            </w:r>
            <w:r w:rsidRPr="008412CB">
              <w:rPr>
                <w:rFonts w:ascii="Verdana" w:eastAsia="Times New Roman" w:hAnsi="Verdana" w:cs="Times New Roman"/>
                <w:color w:val="000066"/>
                <w:sz w:val="18"/>
                <w:szCs w:val="18"/>
              </w:rPr>
              <w:t> to insert actual $#)</w:t>
            </w:r>
          </w:p>
        </w:tc>
      </w:tr>
    </w:tbl>
    <w:p w:rsidR="008412CB" w:rsidRPr="008412CB" w:rsidRDefault="008412CB" w:rsidP="008412CB">
      <w:pPr>
        <w:numPr>
          <w:ilvl w:val="0"/>
          <w:numId w:val="7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For unnamed captures, use </w:t>
      </w:r>
      <w:r w:rsidRPr="008412CB">
        <w:rPr>
          <w:rFonts w:ascii="Courier New" w:eastAsia="Times New Roman" w:hAnsi="Courier New" w:cs="Courier New"/>
          <w:color w:val="FF8000"/>
          <w:sz w:val="21"/>
          <w:szCs w:val="21"/>
        </w:rPr>
        <w:t>${</w:t>
      </w:r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n</w:t>
      </w:r>
      <w:r w:rsidRPr="008412CB">
        <w:rPr>
          <w:rFonts w:ascii="Courier New" w:eastAsia="Times New Roman" w:hAnsi="Courier New" w:cs="Courier New"/>
          <w:color w:val="FF8000"/>
          <w:sz w:val="21"/>
          <w:szCs w:val="21"/>
        </w:rPr>
        <w:t>}</w:t>
      </w: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if the following character is an actual digit</w:t>
      </w:r>
    </w:p>
    <w:p w:rsidR="008412CB" w:rsidRPr="008412CB" w:rsidRDefault="008412CB" w:rsidP="008412CB">
      <w:pPr>
        <w:numPr>
          <w:ilvl w:val="0"/>
          <w:numId w:val="7"/>
        </w:numPr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66"/>
          <w:sz w:val="18"/>
          <w:szCs w:val="18"/>
        </w:rPr>
      </w:pPr>
      <w:r w:rsidRPr="008412CB">
        <w:rPr>
          <w:rFonts w:ascii="Verdana" w:eastAsia="Times New Roman" w:hAnsi="Verdana" w:cs="Times New Roman"/>
          <w:i/>
          <w:iCs/>
          <w:color w:val="000066"/>
          <w:sz w:val="18"/>
          <w:szCs w:val="18"/>
        </w:rPr>
        <w:t>n</w:t>
      </w:r>
      <w:r w:rsidRPr="008412CB">
        <w:rPr>
          <w:rFonts w:ascii="Verdana" w:eastAsia="Times New Roman" w:hAnsi="Verdana" w:cs="Times New Roman"/>
          <w:color w:val="000066"/>
          <w:sz w:val="18"/>
          <w:szCs w:val="18"/>
        </w:rPr>
        <w:t> &gt; 9 is only available if you have more than 9 captures</w:t>
      </w:r>
    </w:p>
    <w:p w:rsidR="008412CB" w:rsidRPr="008412CB" w:rsidRDefault="008412CB" w:rsidP="008412CB">
      <w:pPr>
        <w:spacing w:after="75" w:line="240" w:lineRule="auto"/>
        <w:rPr>
          <w:rFonts w:ascii="Verdana" w:eastAsia="Times New Roman" w:hAnsi="Verdana" w:cs="Times New Roman"/>
          <w:color w:val="000066"/>
          <w:sz w:val="18"/>
          <w:szCs w:val="18"/>
        </w:rPr>
      </w:pPr>
      <w:bookmarkStart w:id="0" w:name="_GoBack"/>
      <w:bookmarkEnd w:id="0"/>
    </w:p>
    <w:p w:rsidR="0091676D" w:rsidRDefault="0091676D"/>
    <w:sectPr w:rsidR="0091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27A6A"/>
    <w:multiLevelType w:val="multilevel"/>
    <w:tmpl w:val="F832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D73CF"/>
    <w:multiLevelType w:val="multilevel"/>
    <w:tmpl w:val="3680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E2E76"/>
    <w:multiLevelType w:val="multilevel"/>
    <w:tmpl w:val="5E5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4354D"/>
    <w:multiLevelType w:val="multilevel"/>
    <w:tmpl w:val="E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A765B"/>
    <w:multiLevelType w:val="multilevel"/>
    <w:tmpl w:val="9916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C1F4D"/>
    <w:multiLevelType w:val="multilevel"/>
    <w:tmpl w:val="0CCE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B372E"/>
    <w:multiLevelType w:val="multilevel"/>
    <w:tmpl w:val="5926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CB"/>
    <w:rsid w:val="008412CB"/>
    <w:rsid w:val="0091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1F387-0B11-4E01-BCD3-1317F835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4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gexrenamer.sourceforge.net/help/interface_menus.html" TargetMode="External"/><Relationship Id="rId5" Type="http://schemas.openxmlformats.org/officeDocument/2006/relationships/hyperlink" Target="http://regexrenamer.sourceforge.net/help/regex_modifi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3819</Characters>
  <Application>Microsoft Office Word</Application>
  <DocSecurity>0</DocSecurity>
  <Lines>31</Lines>
  <Paragraphs>8</Paragraphs>
  <ScaleCrop>false</ScaleCrop>
  <Company>Capgemini</Company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Kasture, Vaishali</dc:creator>
  <cp:keywords/>
  <dc:description/>
  <cp:lastModifiedBy>Kasture, Vaishali</cp:lastModifiedBy>
  <cp:revision>1</cp:revision>
  <dcterms:created xsi:type="dcterms:W3CDTF">2019-01-11T12:27:00Z</dcterms:created>
  <dcterms:modified xsi:type="dcterms:W3CDTF">2019-01-11T12:27:00Z</dcterms:modified>
</cp:coreProperties>
</file>