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400"/>
        <w:jc w:val="center"/>
      </w:pPr>
      <w:r>
        <w:rPr>
          <w:rFonts w:ascii="Arial" w:cs="Arial" w:eastAsia="Arial" w:hAnsi="Arial"/>
          <w:b/>
          <w:bCs/>
          <w:color w:val="1F3A56"/>
          <w:sz w:val="56"/>
          <w:szCs w:val="56"/>
        </w:rPr>
        <w:t xml:space="preserve">AutoCare AI</w:t>
      </w:r>
    </w:p>
    <w:p>
      <w:pPr>
        <w:spacing w:after="100"/>
        <w:jc w:val="center"/>
      </w:pPr>
      <w:r>
        <w:rPr>
          <w:rFonts w:ascii="Arial" w:cs="Arial" w:eastAsia="Arial" w:hAnsi="Arial"/>
          <w:b/>
          <w:bCs/>
          <w:color w:val="1F3A56"/>
          <w:sz w:val="36"/>
          <w:szCs w:val="36"/>
        </w:rPr>
        <w:t xml:space="preserve">Vehicle Families &amp; Maintenance Categories</w:t>
      </w:r>
    </w:p>
    <w:p>
      <w:pPr>
        <w:spacing w:after="400"/>
        <w:jc w:val="center"/>
      </w:pPr>
      <w:r>
        <w:rPr>
          <w:rFonts w:ascii="Arial" w:cs="Arial" w:eastAsia="Arial" w:hAnsi="Arial"/>
          <w:i/>
          <w:iCs/>
          <w:color w:val="4472C4"/>
          <w:sz w:val="24"/>
          <w:szCs w:val="24"/>
        </w:rPr>
        <w:t xml:space="preserve">Knowledge Base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FBFBF" w:sz="4"/>
              <w:left w:val="single" w:color="BFBFBF" w:sz="4"/>
              <w:bottom w:val="single" w:color="BFBFBF" w:sz="4"/>
              <w:right w:val="single" w:color="BFBFBF" w:sz="4"/>
            </w:tcBorders>
            <w:shd w:fill="D9EAF7" w:color="auto" w:val="clear"/>
            <w:tcMar>
              <w:top w:type="dxa" w:w="90"/>
              <w:left w:type="dxa" w:w="120"/>
              <w:bottom w:type="dxa" w:w="90"/>
              <w:right w:type="dxa" w:w="120"/>
            </w:tcMar>
          </w:tcPr>
          <w:p>
            <w:pPr>
              <w:spacing w:after="30"/>
            </w:pPr>
            <w:r>
              <w:rPr>
                <w:rFonts w:ascii="Arial" w:cs="Arial" w:eastAsia="Arial" w:hAnsi="Arial"/>
                <w:b/>
                <w:bCs/>
                <w:sz w:val="19"/>
                <w:szCs w:val="19"/>
              </w:rPr>
              <w:t xml:space="preserve">Document Code</w:t>
            </w:r>
          </w:p>
        </w:tc>
        <w:tc>
          <w:tcPr>
            <w:tcW w:type="dxa" w:w="6760"/>
            <w:tcBorders>
              <w:top w:val="single" w:color="BFBFBF" w:sz="4"/>
              <w:left w:val="single" w:color="BFBFBF" w:sz="4"/>
              <w:bottom w:val="single" w:color="BFBFBF" w:sz="4"/>
              <w:right w:val="single" w:color="BFBFBF" w:sz="4"/>
            </w:tcBorders>
            <w:tcMar>
              <w:top w:type="dxa" w:w="90"/>
              <w:left w:type="dxa" w:w="120"/>
              <w:bottom w:type="dxa" w:w="90"/>
              <w:right w:type="dxa" w:w="120"/>
            </w:tcMar>
          </w:tcPr>
          <w:p>
            <w:pPr>
              <w:spacing w:after="30"/>
            </w:pPr>
            <w:r>
              <w:rPr>
                <w:rFonts w:ascii="Arial" w:cs="Arial" w:eastAsia="Arial" w:hAnsi="Arial"/>
                <w:sz w:val="19"/>
                <w:szCs w:val="19"/>
              </w:rPr>
              <w:t xml:space="preserve">KB-AUTO-001</w:t>
            </w:r>
          </w:p>
        </w:tc>
      </w:tr>
      <w:tr>
        <w:tc>
          <w:tcPr>
            <w:tcW w:type="dxa" w:w="2600"/>
            <w:tcBorders>
              <w:top w:val="single" w:color="BFBFBF" w:sz="4"/>
              <w:left w:val="single" w:color="BFBFBF" w:sz="4"/>
              <w:bottom w:val="single" w:color="BFBFBF" w:sz="4"/>
              <w:right w:val="single" w:color="BFBFBF" w:sz="4"/>
            </w:tcBorders>
            <w:shd w:fill="D9EAF7" w:color="auto" w:val="clear"/>
            <w:tcMar>
              <w:top w:type="dxa" w:w="90"/>
              <w:left w:type="dxa" w:w="120"/>
              <w:bottom w:type="dxa" w:w="90"/>
              <w:right w:type="dxa" w:w="120"/>
            </w:tcMar>
          </w:tcPr>
          <w:p>
            <w:pPr>
              <w:spacing w:after="30"/>
            </w:pPr>
            <w:r>
              <w:rPr>
                <w:rFonts w:ascii="Arial" w:cs="Arial" w:eastAsia="Arial" w:hAnsi="Arial"/>
                <w:b/>
                <w:bCs/>
                <w:sz w:val="19"/>
                <w:szCs w:val="19"/>
              </w:rPr>
              <w:t xml:space="preserve">Version</w:t>
            </w:r>
          </w:p>
        </w:tc>
        <w:tc>
          <w:tcPr>
            <w:tcW w:type="dxa" w:w="6760"/>
            <w:tcBorders>
              <w:top w:val="single" w:color="BFBFBF" w:sz="4"/>
              <w:left w:val="single" w:color="BFBFBF" w:sz="4"/>
              <w:bottom w:val="single" w:color="BFBFBF" w:sz="4"/>
              <w:right w:val="single" w:color="BFBFBF" w:sz="4"/>
            </w:tcBorders>
            <w:tcMar>
              <w:top w:type="dxa" w:w="90"/>
              <w:left w:type="dxa" w:w="120"/>
              <w:bottom w:type="dxa" w:w="90"/>
              <w:right w:type="dxa" w:w="120"/>
            </w:tcMar>
          </w:tcPr>
          <w:p>
            <w:pPr>
              <w:spacing w:after="30"/>
            </w:pPr>
            <w:r>
              <w:rPr>
                <w:rFonts w:ascii="Arial" w:cs="Arial" w:eastAsia="Arial" w:hAnsi="Arial"/>
                <w:sz w:val="19"/>
                <w:szCs w:val="19"/>
              </w:rPr>
              <w:t xml:space="preserve">v1.0</w:t>
            </w:r>
          </w:p>
        </w:tc>
      </w:tr>
      <w:tr>
        <w:tc>
          <w:tcPr>
            <w:tcW w:type="dxa" w:w="2600"/>
            <w:tcBorders>
              <w:top w:val="single" w:color="BFBFBF" w:sz="4"/>
              <w:left w:val="single" w:color="BFBFBF" w:sz="4"/>
              <w:bottom w:val="single" w:color="BFBFBF" w:sz="4"/>
              <w:right w:val="single" w:color="BFBFBF" w:sz="4"/>
            </w:tcBorders>
            <w:shd w:fill="D9EAF7" w:color="auto" w:val="clear"/>
            <w:tcMar>
              <w:top w:type="dxa" w:w="90"/>
              <w:left w:type="dxa" w:w="120"/>
              <w:bottom w:type="dxa" w:w="90"/>
              <w:right w:type="dxa" w:w="120"/>
            </w:tcMar>
          </w:tcPr>
          <w:p>
            <w:pPr>
              <w:spacing w:after="30"/>
            </w:pPr>
            <w:r>
              <w:rPr>
                <w:rFonts w:ascii="Arial" w:cs="Arial" w:eastAsia="Arial" w:hAnsi="Arial"/>
                <w:b/>
                <w:bCs/>
                <w:sz w:val="19"/>
                <w:szCs w:val="19"/>
              </w:rPr>
              <w:t xml:space="preserve">Category</w:t>
            </w:r>
          </w:p>
        </w:tc>
        <w:tc>
          <w:tcPr>
            <w:tcW w:type="dxa" w:w="6760"/>
            <w:tcBorders>
              <w:top w:val="single" w:color="BFBFBF" w:sz="4"/>
              <w:left w:val="single" w:color="BFBFBF" w:sz="4"/>
              <w:bottom w:val="single" w:color="BFBFBF" w:sz="4"/>
              <w:right w:val="single" w:color="BFBFBF" w:sz="4"/>
            </w:tcBorders>
            <w:tcMar>
              <w:top w:type="dxa" w:w="90"/>
              <w:left w:type="dxa" w:w="120"/>
              <w:bottom w:type="dxa" w:w="90"/>
              <w:right w:type="dxa" w:w="120"/>
            </w:tcMar>
          </w:tcPr>
          <w:p>
            <w:pPr>
              <w:spacing w:after="30"/>
            </w:pPr>
            <w:r>
              <w:rPr>
                <w:rFonts w:ascii="Arial" w:cs="Arial" w:eastAsia="Arial" w:hAnsi="Arial"/>
                <w:sz w:val="19"/>
                <w:szCs w:val="19"/>
              </w:rPr>
              <w:t xml:space="preserve">Vehicle Reference</w:t>
            </w:r>
          </w:p>
        </w:tc>
      </w:tr>
      <w:tr>
        <w:tc>
          <w:tcPr>
            <w:tcW w:type="dxa" w:w="2600"/>
            <w:tcBorders>
              <w:top w:val="single" w:color="BFBFBF" w:sz="4"/>
              <w:left w:val="single" w:color="BFBFBF" w:sz="4"/>
              <w:bottom w:val="single" w:color="BFBFBF" w:sz="4"/>
              <w:right w:val="single" w:color="BFBFBF" w:sz="4"/>
            </w:tcBorders>
            <w:shd w:fill="D9EAF7" w:color="auto" w:val="clear"/>
            <w:tcMar>
              <w:top w:type="dxa" w:w="90"/>
              <w:left w:type="dxa" w:w="120"/>
              <w:bottom w:type="dxa" w:w="90"/>
              <w:right w:type="dxa" w:w="120"/>
            </w:tcMar>
          </w:tcPr>
          <w:p>
            <w:pPr>
              <w:spacing w:after="30"/>
            </w:pPr>
            <w:r>
              <w:rPr>
                <w:rFonts w:ascii="Arial" w:cs="Arial" w:eastAsia="Arial" w:hAnsi="Arial"/>
                <w:b/>
                <w:bCs/>
                <w:sz w:val="19"/>
                <w:szCs w:val="19"/>
              </w:rPr>
              <w:t xml:space="preserve">Audience</w:t>
            </w:r>
          </w:p>
        </w:tc>
        <w:tc>
          <w:tcPr>
            <w:tcW w:type="dxa" w:w="6760"/>
            <w:tcBorders>
              <w:top w:val="single" w:color="BFBFBF" w:sz="4"/>
              <w:left w:val="single" w:color="BFBFBF" w:sz="4"/>
              <w:bottom w:val="single" w:color="BFBFBF" w:sz="4"/>
              <w:right w:val="single" w:color="BFBFBF" w:sz="4"/>
            </w:tcBorders>
            <w:tcMar>
              <w:top w:type="dxa" w:w="90"/>
              <w:left w:type="dxa" w:w="120"/>
              <w:bottom w:type="dxa" w:w="90"/>
              <w:right w:type="dxa" w:w="120"/>
            </w:tcMar>
          </w:tcPr>
          <w:p>
            <w:pPr>
              <w:spacing w:after="30"/>
            </w:pPr>
            <w:r>
              <w:rPr>
                <w:rFonts w:ascii="Arial" w:cs="Arial" w:eastAsia="Arial" w:hAnsi="Arial"/>
                <w:sz w:val="19"/>
                <w:szCs w:val="19"/>
              </w:rPr>
              <w:t xml:space="preserve">Vehicle Owner | Service Advisor</w:t>
            </w:r>
          </w:p>
        </w:tc>
      </w:tr>
      <w:tr>
        <w:tc>
          <w:tcPr>
            <w:tcW w:type="dxa" w:w="2600"/>
            <w:tcBorders>
              <w:top w:val="single" w:color="BFBFBF" w:sz="4"/>
              <w:left w:val="single" w:color="BFBFBF" w:sz="4"/>
              <w:bottom w:val="single" w:color="BFBFBF" w:sz="4"/>
              <w:right w:val="single" w:color="BFBFBF" w:sz="4"/>
            </w:tcBorders>
            <w:shd w:fill="D9EAF7" w:color="auto" w:val="clear"/>
            <w:tcMar>
              <w:top w:type="dxa" w:w="90"/>
              <w:left w:type="dxa" w:w="120"/>
              <w:bottom w:type="dxa" w:w="90"/>
              <w:right w:type="dxa" w:w="120"/>
            </w:tcMar>
          </w:tcPr>
          <w:p>
            <w:pPr>
              <w:spacing w:after="30"/>
            </w:pPr>
            <w:r>
              <w:rPr>
                <w:rFonts w:ascii="Arial" w:cs="Arial" w:eastAsia="Arial" w:hAnsi="Arial"/>
                <w:b/>
                <w:bCs/>
                <w:sz w:val="19"/>
                <w:szCs w:val="19"/>
              </w:rPr>
              <w:t xml:space="preserve">Effective Date</w:t>
            </w:r>
          </w:p>
        </w:tc>
        <w:tc>
          <w:tcPr>
            <w:tcW w:type="dxa" w:w="6760"/>
            <w:tcBorders>
              <w:top w:val="single" w:color="BFBFBF" w:sz="4"/>
              <w:left w:val="single" w:color="BFBFBF" w:sz="4"/>
              <w:bottom w:val="single" w:color="BFBFBF" w:sz="4"/>
              <w:right w:val="single" w:color="BFBFBF" w:sz="4"/>
            </w:tcBorders>
            <w:tcMar>
              <w:top w:type="dxa" w:w="90"/>
              <w:left w:type="dxa" w:w="120"/>
              <w:bottom w:type="dxa" w:w="90"/>
              <w:right w:type="dxa" w:w="120"/>
            </w:tcMar>
          </w:tcPr>
          <w:p>
            <w:pPr>
              <w:spacing w:after="30"/>
            </w:pPr>
            <w:r>
              <w:rPr>
                <w:rFonts w:ascii="Arial" w:cs="Arial" w:eastAsia="Arial" w:hAnsi="Arial"/>
                <w:sz w:val="19"/>
                <w:szCs w:val="19"/>
              </w:rPr>
              <w:t xml:space="preserve">01-Oct-2026</w:t>
            </w:r>
          </w:p>
        </w:tc>
      </w:tr>
      <w:tr>
        <w:tc>
          <w:tcPr>
            <w:tcW w:type="dxa" w:w="2600"/>
            <w:tcBorders>
              <w:top w:val="single" w:color="BFBFBF" w:sz="4"/>
              <w:left w:val="single" w:color="BFBFBF" w:sz="4"/>
              <w:bottom w:val="single" w:color="BFBFBF" w:sz="4"/>
              <w:right w:val="single" w:color="BFBFBF" w:sz="4"/>
            </w:tcBorders>
            <w:shd w:fill="D9EAF7" w:color="auto" w:val="clear"/>
            <w:tcMar>
              <w:top w:type="dxa" w:w="90"/>
              <w:left w:type="dxa" w:w="120"/>
              <w:bottom w:type="dxa" w:w="90"/>
              <w:right w:type="dxa" w:w="120"/>
            </w:tcMar>
          </w:tcPr>
          <w:p>
            <w:pPr>
              <w:spacing w:after="30"/>
            </w:pPr>
            <w:r>
              <w:rPr>
                <w:rFonts w:ascii="Arial" w:cs="Arial" w:eastAsia="Arial" w:hAnsi="Arial"/>
                <w:b/>
                <w:bCs/>
                <w:sz w:val="19"/>
                <w:szCs w:val="19"/>
              </w:rPr>
              <w:t xml:space="preserve">Review Frequency</w:t>
            </w:r>
          </w:p>
        </w:tc>
        <w:tc>
          <w:tcPr>
            <w:tcW w:type="dxa" w:w="6760"/>
            <w:tcBorders>
              <w:top w:val="single" w:color="BFBFBF" w:sz="4"/>
              <w:left w:val="single" w:color="BFBFBF" w:sz="4"/>
              <w:bottom w:val="single" w:color="BFBFBF" w:sz="4"/>
              <w:right w:val="single" w:color="BFBFBF" w:sz="4"/>
            </w:tcBorders>
            <w:tcMar>
              <w:top w:type="dxa" w:w="90"/>
              <w:left w:type="dxa" w:w="120"/>
              <w:bottom w:type="dxa" w:w="90"/>
              <w:right w:type="dxa" w:w="120"/>
            </w:tcMar>
          </w:tcPr>
          <w:p>
            <w:pPr>
              <w:spacing w:after="30"/>
            </w:pPr>
            <w:r>
              <w:rPr>
                <w:rFonts w:ascii="Arial" w:cs="Arial" w:eastAsia="Arial" w:hAnsi="Arial"/>
                <w:sz w:val="19"/>
                <w:szCs w:val="19"/>
              </w:rPr>
              <w:t xml:space="preserve">Annual or when sample policy changes</w:t>
            </w:r>
          </w:p>
        </w:tc>
      </w:tr>
      <w:tr>
        <w:tc>
          <w:tcPr>
            <w:tcW w:type="dxa" w:w="2600"/>
            <w:tcBorders>
              <w:top w:val="single" w:color="BFBFBF" w:sz="4"/>
              <w:left w:val="single" w:color="BFBFBF" w:sz="4"/>
              <w:bottom w:val="single" w:color="BFBFBF" w:sz="4"/>
              <w:right w:val="single" w:color="BFBFBF" w:sz="4"/>
            </w:tcBorders>
            <w:shd w:fill="D9EAF7" w:color="auto" w:val="clear"/>
            <w:tcMar>
              <w:top w:type="dxa" w:w="90"/>
              <w:left w:type="dxa" w:w="120"/>
              <w:bottom w:type="dxa" w:w="90"/>
              <w:right w:type="dxa" w:w="120"/>
            </w:tcMar>
          </w:tcPr>
          <w:p>
            <w:pPr>
              <w:spacing w:after="30"/>
            </w:pPr>
            <w:r>
              <w:rPr>
                <w:rFonts w:ascii="Arial" w:cs="Arial" w:eastAsia="Arial" w:hAnsi="Arial"/>
                <w:b/>
                <w:bCs/>
                <w:sz w:val="19"/>
                <w:szCs w:val="19"/>
              </w:rPr>
              <w:t xml:space="preserve">Approved By</w:t>
            </w:r>
          </w:p>
        </w:tc>
        <w:tc>
          <w:tcPr>
            <w:tcW w:type="dxa" w:w="6760"/>
            <w:tcBorders>
              <w:top w:val="single" w:color="BFBFBF" w:sz="4"/>
              <w:left w:val="single" w:color="BFBFBF" w:sz="4"/>
              <w:bottom w:val="single" w:color="BFBFBF" w:sz="4"/>
              <w:right w:val="single" w:color="BFBFBF" w:sz="4"/>
            </w:tcBorders>
            <w:tcMar>
              <w:top w:type="dxa" w:w="90"/>
              <w:left w:type="dxa" w:w="120"/>
              <w:bottom w:type="dxa" w:w="90"/>
              <w:right w:type="dxa" w:w="120"/>
            </w:tcMar>
          </w:tcPr>
          <w:p>
            <w:pPr>
              <w:spacing w:after="30"/>
            </w:pPr>
            <w:r>
              <w:rPr>
                <w:rFonts w:ascii="Arial" w:cs="Arial" w:eastAsia="Arial" w:hAnsi="Arial"/>
                <w:sz w:val="19"/>
                <w:szCs w:val="19"/>
              </w:rPr>
              <w:t xml:space="preserve">AutoCare Capstone Governance Team</w:t>
            </w:r>
          </w:p>
        </w:tc>
      </w:tr>
      <w:tr>
        <w:tc>
          <w:tcPr>
            <w:tcW w:type="dxa" w:w="2600"/>
            <w:tcBorders>
              <w:top w:val="single" w:color="BFBFBF" w:sz="4"/>
              <w:left w:val="single" w:color="BFBFBF" w:sz="4"/>
              <w:bottom w:val="single" w:color="BFBFBF" w:sz="4"/>
              <w:right w:val="single" w:color="BFBFBF" w:sz="4"/>
            </w:tcBorders>
            <w:shd w:fill="D9EAF7" w:color="auto" w:val="clear"/>
            <w:tcMar>
              <w:top w:type="dxa" w:w="90"/>
              <w:left w:type="dxa" w:w="120"/>
              <w:bottom w:type="dxa" w:w="90"/>
              <w:right w:type="dxa" w:w="120"/>
            </w:tcMar>
          </w:tcPr>
          <w:p>
            <w:pPr>
              <w:spacing w:after="30"/>
            </w:pPr>
            <w:r>
              <w:rPr>
                <w:rFonts w:ascii="Arial" w:cs="Arial" w:eastAsia="Arial" w:hAnsi="Arial"/>
                <w:b/>
                <w:bCs/>
                <w:sz w:val="19"/>
                <w:szCs w:val="19"/>
              </w:rPr>
              <w:t xml:space="preserve">Classification</w:t>
            </w:r>
          </w:p>
        </w:tc>
        <w:tc>
          <w:tcPr>
            <w:tcW w:type="dxa" w:w="6760"/>
            <w:tcBorders>
              <w:top w:val="single" w:color="BFBFBF" w:sz="4"/>
              <w:left w:val="single" w:color="BFBFBF" w:sz="4"/>
              <w:bottom w:val="single" w:color="BFBFBF" w:sz="4"/>
              <w:right w:val="single" w:color="BFBFBF" w:sz="4"/>
            </w:tcBorders>
            <w:tcMar>
              <w:top w:type="dxa" w:w="90"/>
              <w:left w:type="dxa" w:w="120"/>
              <w:bottom w:type="dxa" w:w="90"/>
              <w:right w:type="dxa" w:w="120"/>
            </w:tcMar>
          </w:tcPr>
          <w:p>
            <w:pPr>
              <w:spacing w:after="30"/>
            </w:pPr>
            <w:r>
              <w:rPr>
                <w:rFonts w:ascii="Arial" w:cs="Arial" w:eastAsia="Arial" w:hAnsi="Arial"/>
                <w:sz w:val="19"/>
                <w:szCs w:val="19"/>
              </w:rPr>
              <w:t xml:space="preserve">Internal / Confidential</w:t>
            </w:r>
          </w:p>
        </w:tc>
      </w:tr>
      <w:tr>
        <w:tc>
          <w:tcPr>
            <w:tcW w:type="dxa" w:w="2600"/>
            <w:tcBorders>
              <w:top w:val="single" w:color="BFBFBF" w:sz="4"/>
              <w:left w:val="single" w:color="BFBFBF" w:sz="4"/>
              <w:bottom w:val="single" w:color="BFBFBF" w:sz="4"/>
              <w:right w:val="single" w:color="BFBFBF" w:sz="4"/>
            </w:tcBorders>
            <w:shd w:fill="D9EAF7" w:color="auto" w:val="clear"/>
            <w:tcMar>
              <w:top w:type="dxa" w:w="90"/>
              <w:left w:type="dxa" w:w="120"/>
              <w:bottom w:type="dxa" w:w="90"/>
              <w:right w:type="dxa" w:w="120"/>
            </w:tcMar>
          </w:tcPr>
          <w:p>
            <w:pPr>
              <w:spacing w:after="30"/>
            </w:pPr>
            <w:r>
              <w:rPr>
                <w:rFonts w:ascii="Arial" w:cs="Arial" w:eastAsia="Arial" w:hAnsi="Arial"/>
                <w:b/>
                <w:bCs/>
                <w:sz w:val="19"/>
                <w:szCs w:val="19"/>
              </w:rPr>
              <w:t xml:space="preserve">KB Ingestion Tags</w:t>
            </w:r>
          </w:p>
        </w:tc>
        <w:tc>
          <w:tcPr>
            <w:tcW w:type="dxa" w:w="6760"/>
            <w:tcBorders>
              <w:top w:val="single" w:color="BFBFBF" w:sz="4"/>
              <w:left w:val="single" w:color="BFBFBF" w:sz="4"/>
              <w:bottom w:val="single" w:color="BFBFBF" w:sz="4"/>
              <w:right w:val="single" w:color="BFBFBF" w:sz="4"/>
            </w:tcBorders>
            <w:tcMar>
              <w:top w:type="dxa" w:w="90"/>
              <w:left w:type="dxa" w:w="120"/>
              <w:bottom w:type="dxa" w:w="90"/>
              <w:right w:type="dxa" w:w="120"/>
            </w:tcMar>
          </w:tcPr>
          <w:p>
            <w:pPr>
              <w:spacing w:after="30"/>
            </w:pPr>
            <w:r>
              <w:rPr>
                <w:rFonts w:ascii="Arial" w:cs="Arial" w:eastAsia="Arial" w:hAnsi="Arial"/>
                <w:sz w:val="19"/>
                <w:szCs w:val="19"/>
              </w:rPr>
              <w:t xml:space="preserve">doc_type=vehicle_reference, audience=owner|advisor, status=active, version=v1.0</w:t>
            </w:r>
          </w:p>
        </w:tc>
      </w:tr>
    </w:tbl>
    <w:p>
      <w:r>
        <w:br w:type="page"/>
      </w:r>
    </w:p>
    <w:p>
      <w:pPr>
        <w:pStyle w:val="Heading1"/>
        <w:keepNext/>
        <w:spacing w:after="120" w:before="280"/>
      </w:pPr>
      <w:r>
        <w:rPr>
          <w:rFonts w:ascii="Arial" w:cs="Arial" w:eastAsia="Arial" w:hAnsi="Arial"/>
          <w:b/>
          <w:bCs/>
          <w:color w:val="1F3A56"/>
          <w:sz w:val="28"/>
          <w:szCs w:val="28"/>
        </w:rPr>
        <w:t xml:space="preserve">1. Purpose &amp; Scope</w:t>
      </w:r>
    </w:p>
    <w:p>
      <w:pPr>
        <w:spacing w:after="100" w:line="276"/>
      </w:pPr>
      <w:r>
        <w:rPr>
          <w:rFonts w:ascii="Arial" w:cs="Arial" w:eastAsia="Arial" w:hAnsi="Arial"/>
          <w:sz w:val="20"/>
          <w:szCs w:val="20"/>
        </w:rPr>
        <w:t xml:space="preserve">This document defines the fictional vehicle families supported by the capstone, their powertrain and usage metadata, and the maintenance categories used to filter retrieval.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FF2CC" w:color="auto" w:val="clear"/>
            <w:tcMar>
              <w:top w:type="dxa" w:w="100"/>
              <w:left w:type="dxa" w:w="140"/>
              <w:bottom w:type="dxa" w:w="100"/>
              <w:right w:type="dxa" w:w="140"/>
            </w:tcMar>
          </w:tcPr>
          <w:p>
            <w:r>
              <w:rPr>
                <w:rFonts w:ascii="Arial" w:cs="Arial" w:eastAsia="Arial" w:hAnsi="Arial"/>
                <w:b/>
                <w:bCs/>
                <w:color w:val="463700"/>
                <w:sz w:val="18"/>
                <w:szCs w:val="18"/>
              </w:rPr>
              <w:t xml:space="preserve">CAPSTONE DATA NOTICE: All vehicle families, limits, prices, timelines, coverage rules and status values in this document are fictional sample data created only for the AutoCare AI capstone. They must not be represented as manufacturer or legal policy.</w:t>
            </w:r>
          </w:p>
        </w:tc>
      </w:tr>
    </w:tbl>
    <w:p>
      <w:pPr>
        <w:spacing w:after="100"/>
      </w:pPr>
    </w:p>
    <w:p>
      <w:pPr>
        <w:pStyle w:val="Heading1"/>
        <w:keepNext/>
        <w:spacing w:after="120" w:before="280"/>
      </w:pPr>
      <w:r>
        <w:rPr>
          <w:rFonts w:ascii="Arial" w:cs="Arial" w:eastAsia="Arial" w:hAnsi="Arial"/>
          <w:b/>
          <w:bCs/>
          <w:color w:val="1F3A56"/>
          <w:sz w:val="28"/>
          <w:szCs w:val="28"/>
        </w:rPr>
        <w:t xml:space="preserve">2. Supported Vehicle Families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2400"/>
        <w:gridCol w:w="3160"/>
      </w:tblGrid>
      <w:tr>
        <w:trPr>
          <w:cantSplit/>
          <w:tblHeader/>
        </w:trPr>
        <w:tc>
          <w:tcPr>
            <w:tcW w:type="dxa" w:w="14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30"/>
            </w:pPr>
            <w:r>
              <w:rPr>
                <w:rFonts w:ascii="Arial" w:cs="Arial" w:eastAsia="Arial" w:hAnsi="Arial"/>
                <w:b/>
                <w:bCs/>
                <w:color w:val="FFFFFF"/>
                <w:sz w:val="18"/>
                <w:szCs w:val="18"/>
              </w:rPr>
              <w:t xml:space="preserve">Code</w:t>
            </w:r>
          </w:p>
        </w:tc>
        <w:tc>
          <w:tcPr>
            <w:tcW w:type="dxa" w:w="24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30"/>
            </w:pPr>
            <w:r>
              <w:rPr>
                <w:rFonts w:ascii="Arial" w:cs="Arial" w:eastAsia="Arial" w:hAnsi="Arial"/>
                <w:b/>
                <w:bCs/>
                <w:color w:val="FFFFFF"/>
                <w:sz w:val="18"/>
                <w:szCs w:val="18"/>
              </w:rPr>
              <w:t xml:space="preserve">Vehicle Family</w:t>
            </w:r>
          </w:p>
        </w:tc>
        <w:tc>
          <w:tcPr>
            <w:tcW w:type="dxa" w:w="24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30"/>
            </w:pPr>
            <w:r>
              <w:rPr>
                <w:rFonts w:ascii="Arial" w:cs="Arial" w:eastAsia="Arial" w:hAnsi="Arial"/>
                <w:b/>
                <w:bCs/>
                <w:color w:val="FFFFFF"/>
                <w:sz w:val="18"/>
                <w:szCs w:val="18"/>
              </w:rPr>
              <w:t xml:space="preserve">Powertrain</w:t>
            </w:r>
          </w:p>
        </w:tc>
        <w:tc>
          <w:tcPr>
            <w:tcW w:type="dxa" w:w="316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30"/>
            </w:pPr>
            <w:r>
              <w:rPr>
                <w:rFonts w:ascii="Arial" w:cs="Arial" w:eastAsia="Arial" w:hAnsi="Arial"/>
                <w:b/>
                <w:bCs/>
                <w:color w:val="FFFFFF"/>
                <w:sz w:val="18"/>
                <w:szCs w:val="18"/>
              </w:rPr>
              <w:t xml:space="preserve">Supported Usage</w:t>
            </w:r>
          </w:p>
        </w:tc>
      </w:tr>
      <w:tr>
        <w:trPr>
          <w:cantSplit/>
        </w:trPr>
        <w:tc>
          <w:tcPr>
            <w:tcW w:type="dxa" w:w="14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AC-HB-P</w:t>
            </w:r>
          </w:p>
        </w:tc>
        <w:tc>
          <w:tcPr>
            <w:tcW w:type="dxa" w:w="24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CityHatch P</w:t>
            </w:r>
          </w:p>
        </w:tc>
        <w:tc>
          <w:tcPr>
            <w:tcW w:type="dxa" w:w="24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Petrol</w:t>
            </w:r>
          </w:p>
        </w:tc>
        <w:tc>
          <w:tcPr>
            <w:tcW w:type="dxa" w:w="316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Normal | Severe</w:t>
            </w:r>
          </w:p>
        </w:tc>
      </w:tr>
      <w:tr>
        <w:trPr>
          <w:cantSplit/>
        </w:trPr>
        <w:tc>
          <w:tcPr>
            <w:tcW w:type="dxa" w:w="14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AC-SD-P</w:t>
            </w:r>
          </w:p>
        </w:tc>
        <w:tc>
          <w:tcPr>
            <w:tcW w:type="dxa" w:w="24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MetroSedan P</w:t>
            </w:r>
          </w:p>
        </w:tc>
        <w:tc>
          <w:tcPr>
            <w:tcW w:type="dxa" w:w="24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Petrol</w:t>
            </w:r>
          </w:p>
        </w:tc>
        <w:tc>
          <w:tcPr>
            <w:tcW w:type="dxa" w:w="316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Normal | Severe</w:t>
            </w:r>
          </w:p>
        </w:tc>
      </w:tr>
      <w:tr>
        <w:trPr>
          <w:cantSplit/>
        </w:trPr>
        <w:tc>
          <w:tcPr>
            <w:tcW w:type="dxa" w:w="14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AC-SV-P</w:t>
            </w:r>
          </w:p>
        </w:tc>
        <w:tc>
          <w:tcPr>
            <w:tcW w:type="dxa" w:w="24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TrailSUV P</w:t>
            </w:r>
          </w:p>
        </w:tc>
        <w:tc>
          <w:tcPr>
            <w:tcW w:type="dxa" w:w="24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Petrol</w:t>
            </w:r>
          </w:p>
        </w:tc>
        <w:tc>
          <w:tcPr>
            <w:tcW w:type="dxa" w:w="316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Normal | Severe</w:t>
            </w:r>
          </w:p>
        </w:tc>
      </w:tr>
      <w:tr>
        <w:trPr>
          <w:cantSplit/>
        </w:trPr>
        <w:tc>
          <w:tcPr>
            <w:tcW w:type="dxa" w:w="14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AC-SV-D</w:t>
            </w:r>
          </w:p>
        </w:tc>
        <w:tc>
          <w:tcPr>
            <w:tcW w:type="dxa" w:w="24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TrailSUV D</w:t>
            </w:r>
          </w:p>
        </w:tc>
        <w:tc>
          <w:tcPr>
            <w:tcW w:type="dxa" w:w="24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Diesel</w:t>
            </w:r>
          </w:p>
        </w:tc>
        <w:tc>
          <w:tcPr>
            <w:tcW w:type="dxa" w:w="316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Normal | Severe</w:t>
            </w:r>
          </w:p>
        </w:tc>
      </w:tr>
      <w:tr>
        <w:trPr>
          <w:cantSplit/>
        </w:trPr>
        <w:tc>
          <w:tcPr>
            <w:tcW w:type="dxa" w:w="14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AC-EV-1</w:t>
            </w:r>
          </w:p>
        </w:tc>
        <w:tc>
          <w:tcPr>
            <w:tcW w:type="dxa" w:w="24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EonEV</w:t>
            </w:r>
          </w:p>
        </w:tc>
        <w:tc>
          <w:tcPr>
            <w:tcW w:type="dxa" w:w="24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Battery Electric</w:t>
            </w:r>
          </w:p>
        </w:tc>
        <w:tc>
          <w:tcPr>
            <w:tcW w:type="dxa" w:w="316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Normal | High-Usage</w:t>
            </w:r>
          </w:p>
        </w:tc>
      </w:tr>
    </w:tbl>
    <w:p>
      <w:pPr>
        <w:spacing w:after="100"/>
      </w:pPr>
    </w:p>
    <w:p>
      <w:pPr>
        <w:pStyle w:val="Heading1"/>
        <w:keepNext/>
        <w:spacing w:after="120" w:before="280"/>
      </w:pPr>
      <w:r>
        <w:rPr>
          <w:rFonts w:ascii="Arial" w:cs="Arial" w:eastAsia="Arial" w:hAnsi="Arial"/>
          <w:b/>
          <w:bCs/>
          <w:color w:val="1F3A56"/>
          <w:sz w:val="28"/>
          <w:szCs w:val="28"/>
        </w:rPr>
        <w:t xml:space="preserve">3. Maintenance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830"/>
        <w:gridCol w:w="3830"/>
      </w:tblGrid>
      <w:tr>
        <w:trPr>
          <w:cantSplit/>
          <w:tblHeader/>
        </w:trPr>
        <w:tc>
          <w:tcPr>
            <w:tcW w:type="dxa" w:w="17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30"/>
            </w:pPr>
            <w:r>
              <w:rPr>
                <w:rFonts w:ascii="Arial" w:cs="Arial" w:eastAsia="Arial" w:hAnsi="Arial"/>
                <w:b/>
                <w:bCs/>
                <w:color w:val="FFFFFF"/>
                <w:sz w:val="18"/>
                <w:szCs w:val="18"/>
              </w:rPr>
              <w:t xml:space="preserve">Category</w:t>
            </w:r>
          </w:p>
        </w:tc>
        <w:tc>
          <w:tcPr>
            <w:tcW w:type="dxa" w:w="383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30"/>
            </w:pPr>
            <w:r>
              <w:rPr>
                <w:rFonts w:ascii="Arial" w:cs="Arial" w:eastAsia="Arial" w:hAnsi="Arial"/>
                <w:b/>
                <w:bCs/>
                <w:color w:val="FFFFFF"/>
                <w:sz w:val="18"/>
                <w:szCs w:val="18"/>
              </w:rPr>
              <w:t xml:space="preserve">Definition</w:t>
            </w:r>
          </w:p>
        </w:tc>
        <w:tc>
          <w:tcPr>
            <w:tcW w:type="dxa" w:w="383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30"/>
            </w:pPr>
            <w:r>
              <w:rPr>
                <w:rFonts w:ascii="Arial" w:cs="Arial" w:eastAsia="Arial" w:hAnsi="Arial"/>
                <w:b/>
                <w:bCs/>
                <w:color w:val="FFFFFF"/>
                <w:sz w:val="18"/>
                <w:szCs w:val="18"/>
              </w:rPr>
              <w:t xml:space="preserve">Examples</w:t>
            </w:r>
          </w:p>
        </w:tc>
      </w:tr>
      <w:tr>
        <w:trPr>
          <w:cantSplit/>
        </w:trPr>
        <w:tc>
          <w:tcPr>
            <w:tcW w:type="dxa" w:w="17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Normal</w:t>
            </w:r>
          </w:p>
        </w:tc>
        <w:tc>
          <w:tcPr>
            <w:tcW w:type="dxa" w:w="383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Routine mixed driving under ordinary operating conditions.</w:t>
            </w:r>
          </w:p>
        </w:tc>
        <w:tc>
          <w:tcPr>
            <w:tcW w:type="dxa" w:w="383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Moderate daily distance; limited idling; paved roads.</w:t>
            </w:r>
          </w:p>
        </w:tc>
      </w:tr>
      <w:tr>
        <w:trPr>
          <w:cantSplit/>
        </w:trPr>
        <w:tc>
          <w:tcPr>
            <w:tcW w:type="dxa" w:w="17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Severe</w:t>
            </w:r>
          </w:p>
        </w:tc>
        <w:tc>
          <w:tcPr>
            <w:tcW w:type="dxa" w:w="383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Operating conditions that accelerate wear.</w:t>
            </w:r>
          </w:p>
        </w:tc>
        <w:tc>
          <w:tcPr>
            <w:tcW w:type="dxa" w:w="383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Frequent short trips, prolonged idling, dusty roads, towing or repeated stop-start use.</w:t>
            </w:r>
          </w:p>
        </w:tc>
      </w:tr>
      <w:tr>
        <w:trPr>
          <w:cantSplit/>
        </w:trPr>
        <w:tc>
          <w:tcPr>
            <w:tcW w:type="dxa" w:w="17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Seasonal</w:t>
            </w:r>
          </w:p>
        </w:tc>
        <w:tc>
          <w:tcPr>
            <w:tcW w:type="dxa" w:w="383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Checks performed before a defined weather period or long trip.</w:t>
            </w:r>
          </w:p>
        </w:tc>
        <w:tc>
          <w:tcPr>
            <w:tcW w:type="dxa" w:w="383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Tyres, wipers, washer fluid, battery condition and cooling system.</w:t>
            </w:r>
          </w:p>
        </w:tc>
      </w:tr>
      <w:tr>
        <w:trPr>
          <w:cantSplit/>
        </w:trPr>
        <w:tc>
          <w:tcPr>
            <w:tcW w:type="dxa" w:w="17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High-Usage EV</w:t>
            </w:r>
          </w:p>
        </w:tc>
        <w:tc>
          <w:tcPr>
            <w:tcW w:type="dxa" w:w="383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Frequent charging and high monthly distance.</w:t>
            </w:r>
          </w:p>
        </w:tc>
        <w:tc>
          <w:tcPr>
            <w:tcW w:type="dxa" w:w="383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Battery-health and charging-system inspection emphasis.</w:t>
            </w:r>
          </w:p>
        </w:tc>
      </w:tr>
    </w:tbl>
    <w:p>
      <w:pPr>
        <w:spacing w:after="100"/>
      </w:pPr>
    </w:p>
    <w:p>
      <w:pPr>
        <w:pStyle w:val="Heading1"/>
        <w:keepNext/>
        <w:spacing w:after="120" w:before="280"/>
      </w:pPr>
      <w:r>
        <w:rPr>
          <w:rFonts w:ascii="Arial" w:cs="Arial" w:eastAsia="Arial" w:hAnsi="Arial"/>
          <w:b/>
          <w:bCs/>
          <w:color w:val="1F3A56"/>
          <w:sz w:val="28"/>
          <w:szCs w:val="28"/>
        </w:rPr>
        <w:t xml:space="preserve">4. Retrieval Metadata Rules</w:t>
      </w:r>
    </w:p>
    <w:p>
      <w:pPr>
        <w:pStyle w:val="ListParagraph"/>
        <w:numPr>
          <w:ilvl w:val="0"/>
          <w:numId w:val="2"/>
        </w:numPr>
        <w:spacing w:after="60" w:line="264"/>
      </w:pPr>
      <w:r>
        <w:rPr>
          <w:rFonts w:ascii="Arial" w:cs="Arial" w:eastAsia="Arial" w:hAnsi="Arial"/>
          <w:sz w:val="20"/>
          <w:szCs w:val="20"/>
        </w:rPr>
        <w:t xml:space="preserve">Vehicle-specific answers require vehicle_family metadata.</w:t>
      </w:r>
    </w:p>
    <w:p>
      <w:pPr>
        <w:pStyle w:val="ListParagraph"/>
        <w:numPr>
          <w:ilvl w:val="0"/>
          <w:numId w:val="2"/>
        </w:numPr>
        <w:spacing w:after="60" w:line="264"/>
      </w:pPr>
      <w:r>
        <w:rPr>
          <w:rFonts w:ascii="Arial" w:cs="Arial" w:eastAsia="Arial" w:hAnsi="Arial"/>
          <w:sz w:val="20"/>
          <w:szCs w:val="20"/>
        </w:rPr>
        <w:t xml:space="preserve">If no supported family is provided, retrieve only general guidance tagged vehicle_family=all.</w:t>
      </w:r>
    </w:p>
    <w:p>
      <w:pPr>
        <w:pStyle w:val="ListParagraph"/>
        <w:numPr>
          <w:ilvl w:val="0"/>
          <w:numId w:val="2"/>
        </w:numPr>
        <w:spacing w:after="60" w:line="264"/>
      </w:pPr>
      <w:r>
        <w:rPr>
          <w:rFonts w:ascii="Arial" w:cs="Arial" w:eastAsia="Arial" w:hAnsi="Arial"/>
          <w:sz w:val="20"/>
          <w:szCs w:val="20"/>
        </w:rPr>
        <w:t xml:space="preserve">Owner-accessible content uses audience=owner|advisor; internal procedures use audience=advisor.</w:t>
      </w:r>
    </w:p>
    <w:p>
      <w:pPr>
        <w:pStyle w:val="ListParagraph"/>
        <w:numPr>
          <w:ilvl w:val="0"/>
          <w:numId w:val="2"/>
        </w:numPr>
        <w:spacing w:after="60" w:line="264"/>
      </w:pPr>
      <w:r>
        <w:rPr>
          <w:rFonts w:ascii="Arial" w:cs="Arial" w:eastAsia="Arial" w:hAnsi="Arial"/>
          <w:sz w:val="20"/>
          <w:szCs w:val="20"/>
        </w:rPr>
        <w:t xml:space="preserve">Only status=active documents are eligible for normal retrieval.</w:t>
      </w:r>
    </w:p>
    <w:p>
      <w:pPr>
        <w:pStyle w:val="Heading1"/>
        <w:keepNext/>
        <w:spacing w:after="120" w:before="280"/>
      </w:pPr>
      <w:r>
        <w:rPr>
          <w:rFonts w:ascii="Arial" w:cs="Arial" w:eastAsia="Arial" w:hAnsi="Arial"/>
          <w:b/>
          <w:bCs/>
          <w:color w:val="1F3A56"/>
          <w:sz w:val="28"/>
          <w:szCs w:val="28"/>
        </w:rPr>
        <w:t xml:space="preserve">5. Extended Vehicle Family Profiles</w:t>
      </w:r>
    </w:p>
    <w:p>
      <w:pPr>
        <w:spacing w:after="100" w:line="276"/>
      </w:pPr>
      <w:r>
        <w:rPr>
          <w:rFonts w:ascii="Arial" w:cs="Arial" w:eastAsia="Arial" w:hAnsi="Arial"/>
          <w:sz w:val="20"/>
          <w:szCs w:val="20"/>
        </w:rPr>
        <w:t xml:space="preserve">The table below adds descriptive sample attributes for each supported family. All specifications are fictional capstone values used to give the assistant enough context to explain which maintenance rules apply to which family. They are not manufacturer specifications.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700"/>
        <w:gridCol w:w="2300"/>
        <w:gridCol w:w="2300"/>
        <w:gridCol w:w="1960"/>
      </w:tblGrid>
      <w:tr>
        <w:trPr>
          <w:cantSplit/>
          <w:tblHeader/>
        </w:trPr>
        <w:tc>
          <w:tcPr>
            <w:tcW w:type="dxa" w:w="11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30"/>
            </w:pPr>
            <w:r>
              <w:rPr>
                <w:rFonts w:ascii="Arial" w:cs="Arial" w:eastAsia="Arial" w:hAnsi="Arial"/>
                <w:b/>
                <w:bCs/>
                <w:color w:val="FFFFFF"/>
                <w:sz w:val="18"/>
                <w:szCs w:val="18"/>
              </w:rPr>
              <w:t xml:space="preserve">Code</w:t>
            </w:r>
          </w:p>
        </w:tc>
        <w:tc>
          <w:tcPr>
            <w:tcW w:type="dxa" w:w="17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30"/>
            </w:pPr>
            <w:r>
              <w:rPr>
                <w:rFonts w:ascii="Arial" w:cs="Arial" w:eastAsia="Arial" w:hAnsi="Arial"/>
                <w:b/>
                <w:bCs/>
                <w:color w:val="FFFFFF"/>
                <w:sz w:val="18"/>
                <w:szCs w:val="18"/>
              </w:rPr>
              <w:t xml:space="preserve">Body Style (sample)</w:t>
            </w:r>
          </w:p>
        </w:tc>
        <w:tc>
          <w:tcPr>
            <w:tcW w:type="dxa" w:w="23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30"/>
            </w:pPr>
            <w:r>
              <w:rPr>
                <w:rFonts w:ascii="Arial" w:cs="Arial" w:eastAsia="Arial" w:hAnsi="Arial"/>
                <w:b/>
                <w:bCs/>
                <w:color w:val="FFFFFF"/>
                <w:sz w:val="18"/>
                <w:szCs w:val="18"/>
              </w:rPr>
              <w:t xml:space="preserve">Powertrain Detail (sample)</w:t>
            </w:r>
          </w:p>
        </w:tc>
        <w:tc>
          <w:tcPr>
            <w:tcW w:type="dxa" w:w="23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30"/>
            </w:pPr>
            <w:r>
              <w:rPr>
                <w:rFonts w:ascii="Arial" w:cs="Arial" w:eastAsia="Arial" w:hAnsi="Arial"/>
                <w:b/>
                <w:bCs/>
                <w:color w:val="FFFFFF"/>
                <w:sz w:val="18"/>
                <w:szCs w:val="18"/>
              </w:rPr>
              <w:t xml:space="preserve">Typical Duty Profile</w:t>
            </w:r>
          </w:p>
        </w:tc>
        <w:tc>
          <w:tcPr>
            <w:tcW w:type="dxa" w:w="196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30"/>
            </w:pPr>
            <w:r>
              <w:rPr>
                <w:rFonts w:ascii="Arial" w:cs="Arial" w:eastAsia="Arial" w:hAnsi="Arial"/>
                <w:b/>
                <w:bCs/>
                <w:color w:val="FFFFFF"/>
                <w:sz w:val="18"/>
                <w:szCs w:val="18"/>
              </w:rPr>
              <w:t xml:space="preserve">Energy Source Handling</w:t>
            </w:r>
          </w:p>
        </w:tc>
      </w:tr>
      <w:tr>
        <w:trPr>
          <w:cantSplit/>
        </w:trPr>
        <w:tc>
          <w:tcPr>
            <w:tcW w:type="dxa" w:w="11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AC-HB-P</w:t>
            </w:r>
          </w:p>
        </w:tc>
        <w:tc>
          <w:tcPr>
            <w:tcW w:type="dxa" w:w="17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Compact five-door hatchback</w:t>
            </w:r>
          </w:p>
        </w:tc>
        <w:tc>
          <w:tcPr>
            <w:tcW w:type="dxa" w:w="23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Small-capacity petrol engine with automatic or manual gearbox</w:t>
            </w:r>
          </w:p>
        </w:tc>
        <w:tc>
          <w:tcPr>
            <w:tcW w:type="dxa" w:w="23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Urban commuting, short trips, frequent stop-start traffic</w:t>
            </w:r>
          </w:p>
        </w:tc>
        <w:tc>
          <w:tcPr>
            <w:tcW w:type="dxa" w:w="196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Refuel at fuel station; fuel level recorded at check-in</w:t>
            </w:r>
          </w:p>
        </w:tc>
      </w:tr>
      <w:tr>
        <w:trPr>
          <w:cantSplit/>
        </w:trPr>
        <w:tc>
          <w:tcPr>
            <w:tcW w:type="dxa" w:w="11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AC-SD-P</w:t>
            </w:r>
          </w:p>
        </w:tc>
        <w:tc>
          <w:tcPr>
            <w:tcW w:type="dxa" w:w="17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Mid-size four-door sedan</w:t>
            </w:r>
          </w:p>
        </w:tc>
        <w:tc>
          <w:tcPr>
            <w:tcW w:type="dxa" w:w="23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Mid-capacity petrol engine with automatic gearbox</w:t>
            </w:r>
          </w:p>
        </w:tc>
        <w:tc>
          <w:tcPr>
            <w:tcW w:type="dxa" w:w="23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Mixed city and highway use, family and business travel</w:t>
            </w:r>
          </w:p>
        </w:tc>
        <w:tc>
          <w:tcPr>
            <w:tcW w:type="dxa" w:w="196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Refuel at fuel station; fuel level recorded at check-in</w:t>
            </w:r>
          </w:p>
        </w:tc>
      </w:tr>
      <w:tr>
        <w:trPr>
          <w:cantSplit/>
        </w:trPr>
        <w:tc>
          <w:tcPr>
            <w:tcW w:type="dxa" w:w="11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AC-SV-P</w:t>
            </w:r>
          </w:p>
        </w:tc>
        <w:tc>
          <w:tcPr>
            <w:tcW w:type="dxa" w:w="17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Compact SUV with higher ground clearance</w:t>
            </w:r>
          </w:p>
        </w:tc>
        <w:tc>
          <w:tcPr>
            <w:tcW w:type="dxa" w:w="23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Larger-capacity petrol engine with automatic gearbox</w:t>
            </w:r>
          </w:p>
        </w:tc>
        <w:tc>
          <w:tcPr>
            <w:tcW w:type="dxa" w:w="23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Mixed use including rough roads, hills and occasional towing</w:t>
            </w:r>
          </w:p>
        </w:tc>
        <w:tc>
          <w:tcPr>
            <w:tcW w:type="dxa" w:w="196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Refuel at fuel station; fuel level recorded at check-in</w:t>
            </w:r>
          </w:p>
        </w:tc>
      </w:tr>
      <w:tr>
        <w:trPr>
          <w:cantSplit/>
        </w:trPr>
        <w:tc>
          <w:tcPr>
            <w:tcW w:type="dxa" w:w="11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AC-SV-D</w:t>
            </w:r>
          </w:p>
        </w:tc>
        <w:tc>
          <w:tcPr>
            <w:tcW w:type="dxa" w:w="17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Compact SUV with higher ground clearance</w:t>
            </w:r>
          </w:p>
        </w:tc>
        <w:tc>
          <w:tcPr>
            <w:tcW w:type="dxa" w:w="23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Diesel engine with automatic or manual gearbox</w:t>
            </w:r>
          </w:p>
        </w:tc>
        <w:tc>
          <w:tcPr>
            <w:tcW w:type="dxa" w:w="23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Long-distance travel, load carrying, towing and hill driving</w:t>
            </w:r>
          </w:p>
        </w:tc>
        <w:tc>
          <w:tcPr>
            <w:tcW w:type="dxa" w:w="196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Refuel with diesel only; fuel level recorded at check-in</w:t>
            </w:r>
          </w:p>
        </w:tc>
      </w:tr>
      <w:tr>
        <w:trPr>
          <w:cantSplit/>
        </w:trPr>
        <w:tc>
          <w:tcPr>
            <w:tcW w:type="dxa" w:w="11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AC-EV-1</w:t>
            </w:r>
          </w:p>
        </w:tc>
        <w:tc>
          <w:tcPr>
            <w:tcW w:type="dxa" w:w="17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Battery-electric crossover</w:t>
            </w:r>
          </w:p>
        </w:tc>
        <w:tc>
          <w:tcPr>
            <w:tcW w:type="dxa" w:w="23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Single traction battery, electric drive unit, AC and DC charging inlet</w:t>
            </w:r>
          </w:p>
        </w:tc>
        <w:tc>
          <w:tcPr>
            <w:tcW w:type="dxa" w:w="23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Daily commuting with regular charging; high monthly distance for some owners</w:t>
            </w:r>
          </w:p>
        </w:tc>
        <w:tc>
          <w:tcPr>
            <w:tcW w:type="dxa" w:w="196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Charge at home, workplace or public charger; state of charge recorded at check-in</w:t>
            </w:r>
          </w:p>
        </w:tc>
      </w:tr>
    </w:tbl>
    <w:p>
      <w:pPr>
        <w:spacing w:after="100"/>
      </w:pPr>
    </w:p>
    <w:p>
      <w:pPr>
        <w:pStyle w:val="Heading2"/>
        <w:keepNext/>
        <w:spacing w:after="80" w:before="200"/>
      </w:pPr>
      <w:r>
        <w:rPr>
          <w:rFonts w:ascii="Arial" w:cs="Arial" w:eastAsia="Arial" w:hAnsi="Arial"/>
          <w:b/>
          <w:bCs/>
          <w:color w:val="1F4E79"/>
          <w:sz w:val="23"/>
          <w:szCs w:val="23"/>
        </w:rPr>
        <w:t xml:space="preserve">5.1 CityHatch P (AC-HB-P)</w:t>
      </w:r>
    </w:p>
    <w:p>
      <w:pPr>
        <w:spacing w:after="100" w:line="276"/>
      </w:pPr>
      <w:r>
        <w:rPr>
          <w:rFonts w:ascii="Arial" w:cs="Arial" w:eastAsia="Arial" w:hAnsi="Arial"/>
          <w:sz w:val="20"/>
          <w:szCs w:val="20"/>
        </w:rPr>
        <w:t xml:space="preserve">CityHatch P is the smallest supported family. Owners typically drive short urban trips, which makes the </w:t>
      </w:r>
      <w:r>
        <w:rPr>
          <w:rFonts w:ascii="Arial" w:cs="Arial" w:eastAsia="Arial" w:hAnsi="Arial"/>
          <w:b/>
          <w:bCs/>
          <w:sz w:val="20"/>
          <w:szCs w:val="20"/>
        </w:rPr>
        <w:t xml:space="preserve">Severe</w:t>
      </w:r>
      <w:r>
        <w:rPr>
          <w:rFonts w:ascii="Arial" w:cs="Arial" w:eastAsia="Arial" w:hAnsi="Arial"/>
          <w:sz w:val="20"/>
          <w:szCs w:val="20"/>
        </w:rPr>
        <w:t xml:space="preserve"> category common because repeated short trips and stop-start use accelerate oil and brake wear. When an owner of an AC-HB-P describes mostly short trips under ordinary city conditions, the assistant should ask whether the severe-use adjustment in KB-AUTO-002 applies before quoting a service interval. Package guidance for this family is in KB-AUTO-004 (Essential Care and Safety Care).</w:t>
      </w:r>
    </w:p>
    <w:p>
      <w:pPr>
        <w:pStyle w:val="Heading2"/>
        <w:keepNext/>
        <w:spacing w:after="80" w:before="200"/>
      </w:pPr>
      <w:r>
        <w:rPr>
          <w:rFonts w:ascii="Arial" w:cs="Arial" w:eastAsia="Arial" w:hAnsi="Arial"/>
          <w:b/>
          <w:bCs/>
          <w:color w:val="1F4E79"/>
          <w:sz w:val="23"/>
          <w:szCs w:val="23"/>
        </w:rPr>
        <w:t xml:space="preserve">5.2 MetroSedan P (AC-SD-P)</w:t>
      </w:r>
    </w:p>
    <w:p>
      <w:pPr>
        <w:spacing w:after="100" w:line="276"/>
      </w:pPr>
      <w:r>
        <w:rPr>
          <w:rFonts w:ascii="Arial" w:cs="Arial" w:eastAsia="Arial" w:hAnsi="Arial"/>
          <w:sz w:val="20"/>
          <w:szCs w:val="20"/>
        </w:rPr>
        <w:t xml:space="preserve">MetroSedan P is a mid-size petrol sedan used for a mix of city and highway driving. Most owners fall under </w:t>
      </w:r>
      <w:r>
        <w:rPr>
          <w:rFonts w:ascii="Arial" w:cs="Arial" w:eastAsia="Arial" w:hAnsi="Arial"/>
          <w:b/>
          <w:bCs/>
          <w:sz w:val="20"/>
          <w:szCs w:val="20"/>
        </w:rPr>
        <w:t xml:space="preserve">Normal</w:t>
      </w:r>
      <w:r>
        <w:rPr>
          <w:rFonts w:ascii="Arial" w:cs="Arial" w:eastAsia="Arial" w:hAnsi="Arial"/>
          <w:sz w:val="20"/>
          <w:szCs w:val="20"/>
        </w:rPr>
        <w:t xml:space="preserve"> usage; owners with long idling periods or frequent short trips may fall under </w:t>
      </w:r>
      <w:r>
        <w:rPr>
          <w:rFonts w:ascii="Arial" w:cs="Arial" w:eastAsia="Arial" w:hAnsi="Arial"/>
          <w:b/>
          <w:bCs/>
          <w:sz w:val="20"/>
          <w:szCs w:val="20"/>
        </w:rPr>
        <w:t xml:space="preserve">Severe</w:t>
      </w:r>
      <w:r>
        <w:rPr>
          <w:rFonts w:ascii="Arial" w:cs="Arial" w:eastAsia="Arial" w:hAnsi="Arial"/>
          <w:sz w:val="20"/>
          <w:szCs w:val="20"/>
        </w:rPr>
        <w:t xml:space="preserve">. Maintenance bands in KB-AUTO-002 apply directly. Package guidance for this family is in KB-AUTO-004 (Essential Care and Safety Care).</w:t>
      </w:r>
    </w:p>
    <w:p>
      <w:pPr>
        <w:pStyle w:val="Heading2"/>
        <w:keepNext/>
        <w:spacing w:after="80" w:before="200"/>
      </w:pPr>
      <w:r>
        <w:rPr>
          <w:rFonts w:ascii="Arial" w:cs="Arial" w:eastAsia="Arial" w:hAnsi="Arial"/>
          <w:b/>
          <w:bCs/>
          <w:color w:val="1F4E79"/>
          <w:sz w:val="23"/>
          <w:szCs w:val="23"/>
        </w:rPr>
        <w:t xml:space="preserve">5.3 TrailSUV P (AC-SV-P)</w:t>
      </w:r>
    </w:p>
    <w:p>
      <w:pPr>
        <w:spacing w:after="100" w:line="276"/>
      </w:pPr>
      <w:r>
        <w:rPr>
          <w:rFonts w:ascii="Arial" w:cs="Arial" w:eastAsia="Arial" w:hAnsi="Arial"/>
          <w:sz w:val="20"/>
          <w:szCs w:val="20"/>
        </w:rPr>
        <w:t xml:space="preserve">TrailSUV P is a petrol SUV intended for mixed roads. Dusty roads, towing and repeated hill driving are realistic for this family and trigger the severe-use adjustments for air filter, brakes, tyres and cooling system inspection in KB-AUTO-002. Package guidance for this family is in KB-AUTO-004 (Essential Care and Safety Care).</w:t>
      </w:r>
    </w:p>
    <w:p>
      <w:pPr>
        <w:pStyle w:val="Heading2"/>
        <w:keepNext/>
        <w:spacing w:after="80" w:before="200"/>
      </w:pPr>
      <w:r>
        <w:rPr>
          <w:rFonts w:ascii="Arial" w:cs="Arial" w:eastAsia="Arial" w:hAnsi="Arial"/>
          <w:b/>
          <w:bCs/>
          <w:color w:val="1F4E79"/>
          <w:sz w:val="23"/>
          <w:szCs w:val="23"/>
        </w:rPr>
        <w:t xml:space="preserve">5.4 TrailSUV D (AC-SV-D)</w:t>
      </w:r>
    </w:p>
    <w:p>
      <w:pPr>
        <w:spacing w:after="100" w:line="276"/>
      </w:pPr>
      <w:r>
        <w:rPr>
          <w:rFonts w:ascii="Arial" w:cs="Arial" w:eastAsia="Arial" w:hAnsi="Arial"/>
          <w:sz w:val="20"/>
          <w:szCs w:val="20"/>
        </w:rPr>
        <w:t xml:space="preserve">TrailSUV D shares its body style with TrailSUV P but uses a diesel powertrain. It follows the same service bands as the petrol families, and the engine oil and filter task applies because it is a combustion vehicle. Diesel-specific sample inspection notes are in KB-AUTO-002 Section 8. Towing and load carrying are common, so the Severe category should be confirmed with the owner.</w:t>
      </w:r>
    </w:p>
    <w:p>
      <w:pPr>
        <w:pStyle w:val="Heading2"/>
        <w:keepNext/>
        <w:spacing w:after="80" w:before="200"/>
      </w:pPr>
      <w:r>
        <w:rPr>
          <w:rFonts w:ascii="Arial" w:cs="Arial" w:eastAsia="Arial" w:hAnsi="Arial"/>
          <w:b/>
          <w:bCs/>
          <w:color w:val="1F4E79"/>
          <w:sz w:val="23"/>
          <w:szCs w:val="23"/>
        </w:rPr>
        <w:t xml:space="preserve">5.5 EonEV (AC-EV-1)</w:t>
      </w:r>
    </w:p>
    <w:p>
      <w:pPr>
        <w:spacing w:after="100" w:line="276"/>
      </w:pPr>
      <w:r>
        <w:rPr>
          <w:rFonts w:ascii="Arial" w:cs="Arial" w:eastAsia="Arial" w:hAnsi="Arial"/>
          <w:sz w:val="20"/>
          <w:szCs w:val="20"/>
        </w:rPr>
        <w:t xml:space="preserve">EonEV is the only battery-electric family. It has no engine oil, spark plugs or fuel system, so combustion-only tasks do not apply. Its schedule is driven by the </w:t>
      </w:r>
      <w:r>
        <w:rPr>
          <w:rFonts w:ascii="Arial" w:cs="Arial" w:eastAsia="Arial" w:hAnsi="Arial"/>
          <w:b/>
          <w:bCs/>
          <w:sz w:val="20"/>
          <w:szCs w:val="20"/>
        </w:rPr>
        <w:t xml:space="preserve">EV Annual</w:t>
      </w:r>
      <w:r>
        <w:rPr>
          <w:rFonts w:ascii="Arial" w:cs="Arial" w:eastAsia="Arial" w:hAnsi="Arial"/>
          <w:sz w:val="20"/>
          <w:szCs w:val="20"/>
        </w:rPr>
        <w:t xml:space="preserve"> band and the </w:t>
      </w:r>
      <w:r>
        <w:rPr>
          <w:rFonts w:ascii="Arial" w:cs="Arial" w:eastAsia="Arial" w:hAnsi="Arial"/>
          <w:b/>
          <w:bCs/>
          <w:sz w:val="20"/>
          <w:szCs w:val="20"/>
        </w:rPr>
        <w:t xml:space="preserve">High-Usage EV</w:t>
      </w:r>
      <w:r>
        <w:rPr>
          <w:rFonts w:ascii="Arial" w:cs="Arial" w:eastAsia="Arial" w:hAnsi="Arial"/>
          <w:sz w:val="20"/>
          <w:szCs w:val="20"/>
        </w:rPr>
        <w:t xml:space="preserve"> category. Traction-battery warranty rules are in KB-AUTO-003, and EV Care package content is in KB-AUTO-004. High-voltage symptoms must be handled using the safety triage in KB-AUTO-005.</w:t>
      </w:r>
    </w:p>
    <w:p>
      <w:pPr>
        <w:pStyle w:val="Heading1"/>
        <w:keepNext/>
        <w:spacing w:after="120" w:before="280"/>
      </w:pPr>
      <w:r>
        <w:rPr>
          <w:rFonts w:ascii="Arial" w:cs="Arial" w:eastAsia="Arial" w:hAnsi="Arial"/>
          <w:b/>
          <w:bCs/>
          <w:color w:val="1F3A56"/>
          <w:sz w:val="28"/>
          <w:szCs w:val="28"/>
        </w:rPr>
        <w:t xml:space="preserve">6. System Applicability Matrix</w:t>
      </w:r>
    </w:p>
    <w:p>
      <w:pPr>
        <w:spacing w:after="100" w:line="276"/>
      </w:pPr>
      <w:r>
        <w:rPr>
          <w:rFonts w:ascii="Arial" w:cs="Arial" w:eastAsia="Arial" w:hAnsi="Arial"/>
          <w:sz w:val="20"/>
          <w:szCs w:val="20"/>
        </w:rPr>
        <w:t xml:space="preserve">This matrix shows which vehicle systems exist on each family. The assistant should use it to avoid giving combustion-only guidance to EonEV owners and EV-only guidance to petrol or diesel owners. A cell marked Yes means the system exists on that family.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60"/>
        <w:gridCol w:w="1100"/>
        <w:gridCol w:w="1100"/>
        <w:gridCol w:w="1100"/>
        <w:gridCol w:w="1100"/>
        <w:gridCol w:w="2200"/>
      </w:tblGrid>
      <w:tr>
        <w:trPr>
          <w:cantSplit/>
          <w:tblHeader/>
        </w:trPr>
        <w:tc>
          <w:tcPr>
            <w:tcW w:type="dxa" w:w="276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30"/>
            </w:pPr>
            <w:r>
              <w:rPr>
                <w:rFonts w:ascii="Arial" w:cs="Arial" w:eastAsia="Arial" w:hAnsi="Arial"/>
                <w:b/>
                <w:bCs/>
                <w:color w:val="FFFFFF"/>
                <w:sz w:val="18"/>
                <w:szCs w:val="18"/>
              </w:rPr>
              <w:t xml:space="preserve">Vehicle System</w:t>
            </w:r>
          </w:p>
        </w:tc>
        <w:tc>
          <w:tcPr>
            <w:tcW w:type="dxa" w:w="11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30"/>
            </w:pPr>
            <w:r>
              <w:rPr>
                <w:rFonts w:ascii="Arial" w:cs="Arial" w:eastAsia="Arial" w:hAnsi="Arial"/>
                <w:b/>
                <w:bCs/>
                <w:color w:val="FFFFFF"/>
                <w:sz w:val="18"/>
                <w:szCs w:val="18"/>
              </w:rPr>
              <w:t xml:space="preserve">AC-HB-P</w:t>
            </w:r>
          </w:p>
        </w:tc>
        <w:tc>
          <w:tcPr>
            <w:tcW w:type="dxa" w:w="11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30"/>
            </w:pPr>
            <w:r>
              <w:rPr>
                <w:rFonts w:ascii="Arial" w:cs="Arial" w:eastAsia="Arial" w:hAnsi="Arial"/>
                <w:b/>
                <w:bCs/>
                <w:color w:val="FFFFFF"/>
                <w:sz w:val="18"/>
                <w:szCs w:val="18"/>
              </w:rPr>
              <w:t xml:space="preserve">AC-SD-P</w:t>
            </w:r>
          </w:p>
        </w:tc>
        <w:tc>
          <w:tcPr>
            <w:tcW w:type="dxa" w:w="11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30"/>
            </w:pPr>
            <w:r>
              <w:rPr>
                <w:rFonts w:ascii="Arial" w:cs="Arial" w:eastAsia="Arial" w:hAnsi="Arial"/>
                <w:b/>
                <w:bCs/>
                <w:color w:val="FFFFFF"/>
                <w:sz w:val="18"/>
                <w:szCs w:val="18"/>
              </w:rPr>
              <w:t xml:space="preserve">AC-SV-P</w:t>
            </w:r>
          </w:p>
        </w:tc>
        <w:tc>
          <w:tcPr>
            <w:tcW w:type="dxa" w:w="11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30"/>
            </w:pPr>
            <w:r>
              <w:rPr>
                <w:rFonts w:ascii="Arial" w:cs="Arial" w:eastAsia="Arial" w:hAnsi="Arial"/>
                <w:b/>
                <w:bCs/>
                <w:color w:val="FFFFFF"/>
                <w:sz w:val="18"/>
                <w:szCs w:val="18"/>
              </w:rPr>
              <w:t xml:space="preserve">AC-SV-D</w:t>
            </w:r>
          </w:p>
        </w:tc>
        <w:tc>
          <w:tcPr>
            <w:tcW w:type="dxa" w:w="22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30"/>
            </w:pPr>
            <w:r>
              <w:rPr>
                <w:rFonts w:ascii="Arial" w:cs="Arial" w:eastAsia="Arial" w:hAnsi="Arial"/>
                <w:b/>
                <w:bCs/>
                <w:color w:val="FFFFFF"/>
                <w:sz w:val="18"/>
                <w:szCs w:val="18"/>
              </w:rPr>
              <w:t xml:space="preserve">AC-EV-1</w:t>
            </w:r>
          </w:p>
        </w:tc>
      </w:tr>
      <w:tr>
        <w:trPr>
          <w:cantSplit/>
        </w:trPr>
        <w:tc>
          <w:tcPr>
            <w:tcW w:type="dxa" w:w="276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Engine oil and oil filter</w:t>
            </w:r>
          </w:p>
        </w:tc>
        <w:tc>
          <w:tcPr>
            <w:tcW w:type="dxa" w:w="11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Yes</w:t>
            </w:r>
          </w:p>
        </w:tc>
        <w:tc>
          <w:tcPr>
            <w:tcW w:type="dxa" w:w="11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Yes</w:t>
            </w:r>
          </w:p>
        </w:tc>
        <w:tc>
          <w:tcPr>
            <w:tcW w:type="dxa" w:w="11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Yes</w:t>
            </w:r>
          </w:p>
        </w:tc>
        <w:tc>
          <w:tcPr>
            <w:tcW w:type="dxa" w:w="11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Yes</w:t>
            </w:r>
          </w:p>
        </w:tc>
        <w:tc>
          <w:tcPr>
            <w:tcW w:type="dxa" w:w="22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No</w:t>
            </w:r>
          </w:p>
        </w:tc>
      </w:tr>
      <w:tr>
        <w:trPr>
          <w:cantSplit/>
        </w:trPr>
        <w:tc>
          <w:tcPr>
            <w:tcW w:type="dxa" w:w="276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Fuel system and fuel filter</w:t>
            </w:r>
          </w:p>
        </w:tc>
        <w:tc>
          <w:tcPr>
            <w:tcW w:type="dxa" w:w="11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Yes</w:t>
            </w:r>
          </w:p>
        </w:tc>
        <w:tc>
          <w:tcPr>
            <w:tcW w:type="dxa" w:w="11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Yes</w:t>
            </w:r>
          </w:p>
        </w:tc>
        <w:tc>
          <w:tcPr>
            <w:tcW w:type="dxa" w:w="11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Yes</w:t>
            </w:r>
          </w:p>
        </w:tc>
        <w:tc>
          <w:tcPr>
            <w:tcW w:type="dxa" w:w="11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Yes</w:t>
            </w:r>
          </w:p>
        </w:tc>
        <w:tc>
          <w:tcPr>
            <w:tcW w:type="dxa" w:w="22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No</w:t>
            </w:r>
          </w:p>
        </w:tc>
      </w:tr>
      <w:tr>
        <w:trPr>
          <w:cantSplit/>
        </w:trPr>
        <w:tc>
          <w:tcPr>
            <w:tcW w:type="dxa" w:w="276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Engine air filter</w:t>
            </w:r>
          </w:p>
        </w:tc>
        <w:tc>
          <w:tcPr>
            <w:tcW w:type="dxa" w:w="11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Yes</w:t>
            </w:r>
          </w:p>
        </w:tc>
        <w:tc>
          <w:tcPr>
            <w:tcW w:type="dxa" w:w="11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Yes</w:t>
            </w:r>
          </w:p>
        </w:tc>
        <w:tc>
          <w:tcPr>
            <w:tcW w:type="dxa" w:w="11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Yes</w:t>
            </w:r>
          </w:p>
        </w:tc>
        <w:tc>
          <w:tcPr>
            <w:tcW w:type="dxa" w:w="11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Yes</w:t>
            </w:r>
          </w:p>
        </w:tc>
        <w:tc>
          <w:tcPr>
            <w:tcW w:type="dxa" w:w="22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No</w:t>
            </w:r>
          </w:p>
        </w:tc>
      </w:tr>
      <w:tr>
        <w:trPr>
          <w:cantSplit/>
        </w:trPr>
        <w:tc>
          <w:tcPr>
            <w:tcW w:type="dxa" w:w="276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Cabin filter</w:t>
            </w:r>
          </w:p>
        </w:tc>
        <w:tc>
          <w:tcPr>
            <w:tcW w:type="dxa" w:w="11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Yes</w:t>
            </w:r>
          </w:p>
        </w:tc>
        <w:tc>
          <w:tcPr>
            <w:tcW w:type="dxa" w:w="11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Yes</w:t>
            </w:r>
          </w:p>
        </w:tc>
        <w:tc>
          <w:tcPr>
            <w:tcW w:type="dxa" w:w="11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Yes</w:t>
            </w:r>
          </w:p>
        </w:tc>
        <w:tc>
          <w:tcPr>
            <w:tcW w:type="dxa" w:w="11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Yes</w:t>
            </w:r>
          </w:p>
        </w:tc>
        <w:tc>
          <w:tcPr>
            <w:tcW w:type="dxa" w:w="22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Yes</w:t>
            </w:r>
          </w:p>
        </w:tc>
      </w:tr>
      <w:tr>
        <w:trPr>
          <w:cantSplit/>
        </w:trPr>
        <w:tc>
          <w:tcPr>
            <w:tcW w:type="dxa" w:w="276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Transmission (geared)</w:t>
            </w:r>
          </w:p>
        </w:tc>
        <w:tc>
          <w:tcPr>
            <w:tcW w:type="dxa" w:w="11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Yes</w:t>
            </w:r>
          </w:p>
        </w:tc>
        <w:tc>
          <w:tcPr>
            <w:tcW w:type="dxa" w:w="11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Yes</w:t>
            </w:r>
          </w:p>
        </w:tc>
        <w:tc>
          <w:tcPr>
            <w:tcW w:type="dxa" w:w="11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Yes</w:t>
            </w:r>
          </w:p>
        </w:tc>
        <w:tc>
          <w:tcPr>
            <w:tcW w:type="dxa" w:w="11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Yes</w:t>
            </w:r>
          </w:p>
        </w:tc>
        <w:tc>
          <w:tcPr>
            <w:tcW w:type="dxa" w:w="22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Reduction gear only</w:t>
            </w:r>
          </w:p>
        </w:tc>
      </w:tr>
      <w:tr>
        <w:trPr>
          <w:cantSplit/>
        </w:trPr>
        <w:tc>
          <w:tcPr>
            <w:tcW w:type="dxa" w:w="276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Engine coolant system</w:t>
            </w:r>
          </w:p>
        </w:tc>
        <w:tc>
          <w:tcPr>
            <w:tcW w:type="dxa" w:w="11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Yes</w:t>
            </w:r>
          </w:p>
        </w:tc>
        <w:tc>
          <w:tcPr>
            <w:tcW w:type="dxa" w:w="11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Yes</w:t>
            </w:r>
          </w:p>
        </w:tc>
        <w:tc>
          <w:tcPr>
            <w:tcW w:type="dxa" w:w="11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Yes</w:t>
            </w:r>
          </w:p>
        </w:tc>
        <w:tc>
          <w:tcPr>
            <w:tcW w:type="dxa" w:w="11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Yes</w:t>
            </w:r>
          </w:p>
        </w:tc>
        <w:tc>
          <w:tcPr>
            <w:tcW w:type="dxa" w:w="22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No</w:t>
            </w:r>
          </w:p>
        </w:tc>
      </w:tr>
      <w:tr>
        <w:trPr>
          <w:cantSplit/>
        </w:trPr>
        <w:tc>
          <w:tcPr>
            <w:tcW w:type="dxa" w:w="276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Battery thermal-management circuit</w:t>
            </w:r>
          </w:p>
        </w:tc>
        <w:tc>
          <w:tcPr>
            <w:tcW w:type="dxa" w:w="11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No</w:t>
            </w:r>
          </w:p>
        </w:tc>
        <w:tc>
          <w:tcPr>
            <w:tcW w:type="dxa" w:w="11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No</w:t>
            </w:r>
          </w:p>
        </w:tc>
        <w:tc>
          <w:tcPr>
            <w:tcW w:type="dxa" w:w="11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No</w:t>
            </w:r>
          </w:p>
        </w:tc>
        <w:tc>
          <w:tcPr>
            <w:tcW w:type="dxa" w:w="11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No</w:t>
            </w:r>
          </w:p>
        </w:tc>
        <w:tc>
          <w:tcPr>
            <w:tcW w:type="dxa" w:w="22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Yes</w:t>
            </w:r>
          </w:p>
        </w:tc>
      </w:tr>
      <w:tr>
        <w:trPr>
          <w:cantSplit/>
        </w:trPr>
        <w:tc>
          <w:tcPr>
            <w:tcW w:type="dxa" w:w="276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12-volt auxiliary battery</w:t>
            </w:r>
          </w:p>
        </w:tc>
        <w:tc>
          <w:tcPr>
            <w:tcW w:type="dxa" w:w="11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Yes</w:t>
            </w:r>
          </w:p>
        </w:tc>
        <w:tc>
          <w:tcPr>
            <w:tcW w:type="dxa" w:w="11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Yes</w:t>
            </w:r>
          </w:p>
        </w:tc>
        <w:tc>
          <w:tcPr>
            <w:tcW w:type="dxa" w:w="11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Yes</w:t>
            </w:r>
          </w:p>
        </w:tc>
        <w:tc>
          <w:tcPr>
            <w:tcW w:type="dxa" w:w="11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Yes</w:t>
            </w:r>
          </w:p>
        </w:tc>
        <w:tc>
          <w:tcPr>
            <w:tcW w:type="dxa" w:w="22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Yes</w:t>
            </w:r>
          </w:p>
        </w:tc>
      </w:tr>
      <w:tr>
        <w:trPr>
          <w:cantSplit/>
        </w:trPr>
        <w:tc>
          <w:tcPr>
            <w:tcW w:type="dxa" w:w="276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High-voltage traction battery</w:t>
            </w:r>
          </w:p>
        </w:tc>
        <w:tc>
          <w:tcPr>
            <w:tcW w:type="dxa" w:w="11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No</w:t>
            </w:r>
          </w:p>
        </w:tc>
        <w:tc>
          <w:tcPr>
            <w:tcW w:type="dxa" w:w="11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No</w:t>
            </w:r>
          </w:p>
        </w:tc>
        <w:tc>
          <w:tcPr>
            <w:tcW w:type="dxa" w:w="11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No</w:t>
            </w:r>
          </w:p>
        </w:tc>
        <w:tc>
          <w:tcPr>
            <w:tcW w:type="dxa" w:w="11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No</w:t>
            </w:r>
          </w:p>
        </w:tc>
        <w:tc>
          <w:tcPr>
            <w:tcW w:type="dxa" w:w="22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Yes</w:t>
            </w:r>
          </w:p>
        </w:tc>
      </w:tr>
      <w:tr>
        <w:trPr>
          <w:cantSplit/>
        </w:trPr>
        <w:tc>
          <w:tcPr>
            <w:tcW w:type="dxa" w:w="276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Charging port and on-board charger</w:t>
            </w:r>
          </w:p>
        </w:tc>
        <w:tc>
          <w:tcPr>
            <w:tcW w:type="dxa" w:w="11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No</w:t>
            </w:r>
          </w:p>
        </w:tc>
        <w:tc>
          <w:tcPr>
            <w:tcW w:type="dxa" w:w="11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No</w:t>
            </w:r>
          </w:p>
        </w:tc>
        <w:tc>
          <w:tcPr>
            <w:tcW w:type="dxa" w:w="11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No</w:t>
            </w:r>
          </w:p>
        </w:tc>
        <w:tc>
          <w:tcPr>
            <w:tcW w:type="dxa" w:w="11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No</w:t>
            </w:r>
          </w:p>
        </w:tc>
        <w:tc>
          <w:tcPr>
            <w:tcW w:type="dxa" w:w="22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Yes</w:t>
            </w:r>
          </w:p>
        </w:tc>
      </w:tr>
      <w:tr>
        <w:trPr>
          <w:cantSplit/>
        </w:trPr>
        <w:tc>
          <w:tcPr>
            <w:tcW w:type="dxa" w:w="276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Friction brakes</w:t>
            </w:r>
          </w:p>
        </w:tc>
        <w:tc>
          <w:tcPr>
            <w:tcW w:type="dxa" w:w="11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Yes</w:t>
            </w:r>
          </w:p>
        </w:tc>
        <w:tc>
          <w:tcPr>
            <w:tcW w:type="dxa" w:w="11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Yes</w:t>
            </w:r>
          </w:p>
        </w:tc>
        <w:tc>
          <w:tcPr>
            <w:tcW w:type="dxa" w:w="11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Yes</w:t>
            </w:r>
          </w:p>
        </w:tc>
        <w:tc>
          <w:tcPr>
            <w:tcW w:type="dxa" w:w="11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Yes</w:t>
            </w:r>
          </w:p>
        </w:tc>
        <w:tc>
          <w:tcPr>
            <w:tcW w:type="dxa" w:w="22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Yes</w:t>
            </w:r>
          </w:p>
        </w:tc>
      </w:tr>
      <w:tr>
        <w:trPr>
          <w:cantSplit/>
        </w:trPr>
        <w:tc>
          <w:tcPr>
            <w:tcW w:type="dxa" w:w="276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Regenerative braking</w:t>
            </w:r>
          </w:p>
        </w:tc>
        <w:tc>
          <w:tcPr>
            <w:tcW w:type="dxa" w:w="11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No</w:t>
            </w:r>
          </w:p>
        </w:tc>
        <w:tc>
          <w:tcPr>
            <w:tcW w:type="dxa" w:w="11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No</w:t>
            </w:r>
          </w:p>
        </w:tc>
        <w:tc>
          <w:tcPr>
            <w:tcW w:type="dxa" w:w="11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No</w:t>
            </w:r>
          </w:p>
        </w:tc>
        <w:tc>
          <w:tcPr>
            <w:tcW w:type="dxa" w:w="11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No</w:t>
            </w:r>
          </w:p>
        </w:tc>
        <w:tc>
          <w:tcPr>
            <w:tcW w:type="dxa" w:w="22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Yes</w:t>
            </w:r>
          </w:p>
        </w:tc>
      </w:tr>
      <w:tr>
        <w:trPr>
          <w:cantSplit/>
        </w:trPr>
        <w:tc>
          <w:tcPr>
            <w:tcW w:type="dxa" w:w="276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Tyres and wheels</w:t>
            </w:r>
          </w:p>
        </w:tc>
        <w:tc>
          <w:tcPr>
            <w:tcW w:type="dxa" w:w="11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Yes</w:t>
            </w:r>
          </w:p>
        </w:tc>
        <w:tc>
          <w:tcPr>
            <w:tcW w:type="dxa" w:w="11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Yes</w:t>
            </w:r>
          </w:p>
        </w:tc>
        <w:tc>
          <w:tcPr>
            <w:tcW w:type="dxa" w:w="11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Yes</w:t>
            </w:r>
          </w:p>
        </w:tc>
        <w:tc>
          <w:tcPr>
            <w:tcW w:type="dxa" w:w="11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Yes</w:t>
            </w:r>
          </w:p>
        </w:tc>
        <w:tc>
          <w:tcPr>
            <w:tcW w:type="dxa" w:w="22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Yes</w:t>
            </w:r>
          </w:p>
        </w:tc>
      </w:tr>
      <w:tr>
        <w:trPr>
          <w:cantSplit/>
        </w:trPr>
        <w:tc>
          <w:tcPr>
            <w:tcW w:type="dxa" w:w="276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Wipers, lights and washer system</w:t>
            </w:r>
          </w:p>
        </w:tc>
        <w:tc>
          <w:tcPr>
            <w:tcW w:type="dxa" w:w="11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Yes</w:t>
            </w:r>
          </w:p>
        </w:tc>
        <w:tc>
          <w:tcPr>
            <w:tcW w:type="dxa" w:w="11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Yes</w:t>
            </w:r>
          </w:p>
        </w:tc>
        <w:tc>
          <w:tcPr>
            <w:tcW w:type="dxa" w:w="11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Yes</w:t>
            </w:r>
          </w:p>
        </w:tc>
        <w:tc>
          <w:tcPr>
            <w:tcW w:type="dxa" w:w="11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Yes</w:t>
            </w:r>
          </w:p>
        </w:tc>
        <w:tc>
          <w:tcPr>
            <w:tcW w:type="dxa" w:w="22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Yes</w:t>
            </w:r>
          </w:p>
        </w:tc>
      </w:tr>
    </w:tbl>
    <w:p>
      <w:pPr>
        <w:spacing w:after="100"/>
      </w:pPr>
    </w:p>
    <w:p>
      <w:pPr>
        <w:pStyle w:val="Heading1"/>
        <w:keepNext/>
        <w:spacing w:after="120" w:before="280"/>
      </w:pPr>
      <w:r>
        <w:rPr>
          <w:rFonts w:ascii="Arial" w:cs="Arial" w:eastAsia="Arial" w:hAnsi="Arial"/>
          <w:b/>
          <w:bCs/>
          <w:color w:val="1F3A56"/>
          <w:sz w:val="28"/>
          <w:szCs w:val="28"/>
        </w:rPr>
        <w:t xml:space="preserve">7. Usage Category Selection Guide</w:t>
      </w:r>
    </w:p>
    <w:p>
      <w:pPr>
        <w:pStyle w:val="Heading2"/>
        <w:keepNext/>
        <w:spacing w:after="80" w:before="200"/>
      </w:pPr>
      <w:r>
        <w:rPr>
          <w:rFonts w:ascii="Arial" w:cs="Arial" w:eastAsia="Arial" w:hAnsi="Arial"/>
          <w:b/>
          <w:bCs/>
          <w:color w:val="1F4E79"/>
          <w:sz w:val="23"/>
          <w:szCs w:val="23"/>
        </w:rPr>
        <w:t xml:space="preserve">7.1 How the Category Is Chosen</w:t>
      </w:r>
    </w:p>
    <w:p>
      <w:pPr>
        <w:spacing w:after="100" w:line="276"/>
      </w:pPr>
      <w:r>
        <w:rPr>
          <w:rFonts w:ascii="Arial" w:cs="Arial" w:eastAsia="Arial" w:hAnsi="Arial"/>
          <w:sz w:val="20"/>
          <w:szCs w:val="20"/>
        </w:rPr>
        <w:t xml:space="preserve">The usage category is selected by the owner at booking and confirmed by the service advisor at check-in (see KB-AUTO-007). The assistant must not decide the category on its own when the owner has not described their driving conditions. If the owner has not stated the usage, the assistant asks one short clarifying question about typical trip length, road type and towing.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900"/>
        <w:gridCol w:w="3860"/>
      </w:tblGrid>
      <w:tr>
        <w:trPr>
          <w:cantSplit/>
          <w:tblHeader/>
        </w:trPr>
        <w:tc>
          <w:tcPr>
            <w:tcW w:type="dxa" w:w="36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30"/>
            </w:pPr>
            <w:r>
              <w:rPr>
                <w:rFonts w:ascii="Arial" w:cs="Arial" w:eastAsia="Arial" w:hAnsi="Arial"/>
                <w:b/>
                <w:bCs/>
                <w:color w:val="FFFFFF"/>
                <w:sz w:val="18"/>
                <w:szCs w:val="18"/>
              </w:rPr>
              <w:t xml:space="preserve">Owner Description</w:t>
            </w:r>
          </w:p>
        </w:tc>
        <w:tc>
          <w:tcPr>
            <w:tcW w:type="dxa" w:w="19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30"/>
            </w:pPr>
            <w:r>
              <w:rPr>
                <w:rFonts w:ascii="Arial" w:cs="Arial" w:eastAsia="Arial" w:hAnsi="Arial"/>
                <w:b/>
                <w:bCs/>
                <w:color w:val="FFFFFF"/>
                <w:sz w:val="18"/>
                <w:szCs w:val="18"/>
              </w:rPr>
              <w:t xml:space="preserve">Suggested Category</w:t>
            </w:r>
          </w:p>
        </w:tc>
        <w:tc>
          <w:tcPr>
            <w:tcW w:type="dxa" w:w="386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30"/>
            </w:pPr>
            <w:r>
              <w:rPr>
                <w:rFonts w:ascii="Arial" w:cs="Arial" w:eastAsia="Arial" w:hAnsi="Arial"/>
                <w:b/>
                <w:bCs/>
                <w:color w:val="FFFFFF"/>
                <w:sz w:val="18"/>
                <w:szCs w:val="18"/>
              </w:rPr>
              <w:t xml:space="preserve">Reason</w:t>
            </w:r>
          </w:p>
        </w:tc>
      </w:tr>
      <w:tr>
        <w:trPr>
          <w:cantSplit/>
        </w:trPr>
        <w:tc>
          <w:tcPr>
            <w:tcW w:type="dxa" w:w="36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Drives about 30 to 40 km daily on paved roads with little idling</w:t>
            </w:r>
          </w:p>
        </w:tc>
        <w:tc>
          <w:tcPr>
            <w:tcW w:type="dxa" w:w="19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Normal</w:t>
            </w:r>
          </w:p>
        </w:tc>
        <w:tc>
          <w:tcPr>
            <w:tcW w:type="dxa" w:w="386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Ordinary mixed driving under ordinary operating conditions.</w:t>
            </w:r>
          </w:p>
        </w:tc>
      </w:tr>
      <w:tr>
        <w:trPr>
          <w:cantSplit/>
        </w:trPr>
        <w:tc>
          <w:tcPr>
            <w:tcW w:type="dxa" w:w="36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Mostly trips under a few kilometres, engine rarely reaches full operating temperature</w:t>
            </w:r>
          </w:p>
        </w:tc>
        <w:tc>
          <w:tcPr>
            <w:tcW w:type="dxa" w:w="19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Severe</w:t>
            </w:r>
          </w:p>
        </w:tc>
        <w:tc>
          <w:tcPr>
            <w:tcW w:type="dxa" w:w="386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Frequent short trips accelerate wear.</w:t>
            </w:r>
          </w:p>
        </w:tc>
      </w:tr>
      <w:tr>
        <w:trPr>
          <w:cantSplit/>
        </w:trPr>
        <w:tc>
          <w:tcPr>
            <w:tcW w:type="dxa" w:w="36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Leaves the engine idling for long periods, for example while waiting</w:t>
            </w:r>
          </w:p>
        </w:tc>
        <w:tc>
          <w:tcPr>
            <w:tcW w:type="dxa" w:w="19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Severe</w:t>
            </w:r>
          </w:p>
        </w:tc>
        <w:tc>
          <w:tcPr>
            <w:tcW w:type="dxa" w:w="386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Prolonged idling is a severe-use condition.</w:t>
            </w:r>
          </w:p>
        </w:tc>
      </w:tr>
      <w:tr>
        <w:trPr>
          <w:cantSplit/>
        </w:trPr>
        <w:tc>
          <w:tcPr>
            <w:tcW w:type="dxa" w:w="36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Regularly drives on dusty or unpaved roads</w:t>
            </w:r>
          </w:p>
        </w:tc>
        <w:tc>
          <w:tcPr>
            <w:tcW w:type="dxa" w:w="19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Severe</w:t>
            </w:r>
          </w:p>
        </w:tc>
        <w:tc>
          <w:tcPr>
            <w:tcW w:type="dxa" w:w="386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Dusty roads affect the air filter and other wear items.</w:t>
            </w:r>
          </w:p>
        </w:tc>
      </w:tr>
      <w:tr>
        <w:trPr>
          <w:cantSplit/>
        </w:trPr>
        <w:tc>
          <w:tcPr>
            <w:tcW w:type="dxa" w:w="36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Tows a trailer or repeatedly drives steep hills</w:t>
            </w:r>
          </w:p>
        </w:tc>
        <w:tc>
          <w:tcPr>
            <w:tcW w:type="dxa" w:w="19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Severe</w:t>
            </w:r>
          </w:p>
        </w:tc>
        <w:tc>
          <w:tcPr>
            <w:tcW w:type="dxa" w:w="386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Towing and repeated hill driving stress brakes, tyres and cooling system.</w:t>
            </w:r>
          </w:p>
        </w:tc>
      </w:tr>
      <w:tr>
        <w:trPr>
          <w:cantSplit/>
        </w:trPr>
        <w:tc>
          <w:tcPr>
            <w:tcW w:type="dxa" w:w="36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EonEV owner charges almost daily and drives very high monthly distance</w:t>
            </w:r>
          </w:p>
        </w:tc>
        <w:tc>
          <w:tcPr>
            <w:tcW w:type="dxa" w:w="19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High-Usage EV</w:t>
            </w:r>
          </w:p>
        </w:tc>
        <w:tc>
          <w:tcPr>
            <w:tcW w:type="dxa" w:w="386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Frequent charging and high monthly distance.</w:t>
            </w:r>
          </w:p>
        </w:tc>
      </w:tr>
      <w:tr>
        <w:trPr>
          <w:cantSplit/>
        </w:trPr>
        <w:tc>
          <w:tcPr>
            <w:tcW w:type="dxa" w:w="36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EonEV owner tows or drives on dusty roads</w:t>
            </w:r>
          </w:p>
        </w:tc>
        <w:tc>
          <w:tcPr>
            <w:tcW w:type="dxa" w:w="19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Advisor review required</w:t>
            </w:r>
          </w:p>
        </w:tc>
        <w:tc>
          <w:tcPr>
            <w:tcW w:type="dxa" w:w="386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Only Normal and High-Usage are supported usage categories for AC-EV-1.</w:t>
            </w:r>
          </w:p>
        </w:tc>
      </w:tr>
    </w:tbl>
    <w:p>
      <w:pPr>
        <w:spacing w:after="100"/>
      </w:pPr>
    </w:p>
    <w:p>
      <w:pPr>
        <w:pStyle w:val="Heading2"/>
        <w:keepNext/>
        <w:spacing w:after="80" w:before="200"/>
      </w:pPr>
      <w:r>
        <w:rPr>
          <w:rFonts w:ascii="Arial" w:cs="Arial" w:eastAsia="Arial" w:hAnsi="Arial"/>
          <w:b/>
          <w:bCs/>
          <w:color w:val="1F4E79"/>
          <w:sz w:val="23"/>
          <w:szCs w:val="23"/>
        </w:rPr>
        <w:t xml:space="preserve">7.2 Rules for Combining Categories</w:t>
      </w:r>
    </w:p>
    <w:p>
      <w:pPr>
        <w:pStyle w:val="ListParagraph"/>
        <w:numPr>
          <w:ilvl w:val="0"/>
          <w:numId w:val="2"/>
        </w:numPr>
        <w:spacing w:after="60" w:line="264"/>
      </w:pPr>
      <w:r>
        <w:rPr>
          <w:rFonts w:ascii="Arial" w:cs="Arial" w:eastAsia="Arial" w:hAnsi="Arial"/>
          <w:b/>
          <w:bCs/>
          <w:sz w:val="20"/>
          <w:szCs w:val="20"/>
        </w:rPr>
        <w:t xml:space="preserve">Severe takes precedence over Normal.</w:t>
      </w:r>
      <w:r>
        <w:rPr>
          <w:rFonts w:ascii="Arial" w:cs="Arial" w:eastAsia="Arial" w:hAnsi="Arial"/>
          <w:sz w:val="20"/>
          <w:szCs w:val="20"/>
        </w:rPr>
        <w:t xml:space="preserve"> If any severe-use condition applies regularly, the severe-use adjustments in KB-AUTO-002 apply in addition to the standard service band.</w:t>
      </w:r>
    </w:p>
    <w:p>
      <w:pPr>
        <w:pStyle w:val="ListParagraph"/>
        <w:numPr>
          <w:ilvl w:val="0"/>
          <w:numId w:val="2"/>
        </w:numPr>
        <w:spacing w:after="60" w:line="264"/>
      </w:pPr>
      <w:r>
        <w:rPr>
          <w:rFonts w:ascii="Arial" w:cs="Arial" w:eastAsia="Arial" w:hAnsi="Arial"/>
          <w:b/>
          <w:bCs/>
          <w:sz w:val="20"/>
          <w:szCs w:val="20"/>
        </w:rPr>
        <w:t xml:space="preserve">Seasonal is an overlay, not an alternative.</w:t>
      </w:r>
      <w:r>
        <w:rPr>
          <w:rFonts w:ascii="Arial" w:cs="Arial" w:eastAsia="Arial" w:hAnsi="Arial"/>
          <w:sz w:val="20"/>
          <w:szCs w:val="20"/>
        </w:rPr>
        <w:t xml:space="preserve"> A Seasonal check can be added to any vehicle regardless of its Normal, Severe or High-Usage category, for example before monsoon or a long trip.</w:t>
      </w:r>
    </w:p>
    <w:p>
      <w:pPr>
        <w:pStyle w:val="ListParagraph"/>
        <w:numPr>
          <w:ilvl w:val="0"/>
          <w:numId w:val="2"/>
        </w:numPr>
        <w:spacing w:after="60" w:line="264"/>
      </w:pPr>
      <w:r>
        <w:rPr>
          <w:rFonts w:ascii="Arial" w:cs="Arial" w:eastAsia="Arial" w:hAnsi="Arial"/>
          <w:b/>
          <w:bCs/>
          <w:sz w:val="20"/>
          <w:szCs w:val="20"/>
        </w:rPr>
        <w:t xml:space="preserve">High-Usage EV applies only to AC-EV-1.</w:t>
      </w:r>
      <w:r>
        <w:rPr>
          <w:rFonts w:ascii="Arial" w:cs="Arial" w:eastAsia="Arial" w:hAnsi="Arial"/>
          <w:sz w:val="20"/>
          <w:szCs w:val="20"/>
        </w:rPr>
        <w:t xml:space="preserve"> Petrol and diesel owners with very high monthly distance are still classified as Normal or Severe.</w:t>
      </w:r>
    </w:p>
    <w:p>
      <w:pPr>
        <w:pStyle w:val="ListParagraph"/>
        <w:numPr>
          <w:ilvl w:val="0"/>
          <w:numId w:val="2"/>
        </w:numPr>
        <w:spacing w:after="60" w:line="264"/>
      </w:pPr>
      <w:r>
        <w:rPr>
          <w:rFonts w:ascii="Arial" w:cs="Arial" w:eastAsia="Arial" w:hAnsi="Arial"/>
          <w:b/>
          <w:bCs/>
          <w:sz w:val="20"/>
          <w:szCs w:val="20"/>
        </w:rPr>
        <w:t xml:space="preserve">A single occasional event does not change the category.</w:t>
      </w:r>
      <w:r>
        <w:rPr>
          <w:rFonts w:ascii="Arial" w:cs="Arial" w:eastAsia="Arial" w:hAnsi="Arial"/>
          <w:sz w:val="20"/>
          <w:szCs w:val="20"/>
        </w:rPr>
        <w:t xml:space="preserve"> One trip on a dusty road does not make a vehicle Severe; the condition must be regular or sustained.</w:t>
      </w:r>
    </w:p>
    <w:p>
      <w:pPr>
        <w:pStyle w:val="ListParagraph"/>
        <w:numPr>
          <w:ilvl w:val="0"/>
          <w:numId w:val="2"/>
        </w:numPr>
        <w:spacing w:after="60" w:line="264"/>
      </w:pPr>
      <w:r>
        <w:rPr>
          <w:rFonts w:ascii="Arial" w:cs="Arial" w:eastAsia="Arial" w:hAnsi="Arial"/>
          <w:b/>
          <w:bCs/>
          <w:sz w:val="20"/>
          <w:szCs w:val="20"/>
        </w:rPr>
        <w:t xml:space="preserve">When in doubt, the advisor decides.</w:t>
      </w:r>
      <w:r>
        <w:rPr>
          <w:rFonts w:ascii="Arial" w:cs="Arial" w:eastAsia="Arial" w:hAnsi="Arial"/>
          <w:sz w:val="20"/>
          <w:szCs w:val="20"/>
        </w:rPr>
        <w:t xml:space="preserve"> The assistant should recommend that the owner confirm the category with the service advisor rather than assert a category.</w:t>
      </w:r>
    </w:p>
    <w:p>
      <w:pPr>
        <w:pStyle w:val="Heading1"/>
        <w:keepNext/>
        <w:spacing w:after="120" w:before="280"/>
      </w:pPr>
      <w:r>
        <w:rPr>
          <w:rFonts w:ascii="Arial" w:cs="Arial" w:eastAsia="Arial" w:hAnsi="Arial"/>
          <w:b/>
          <w:bCs/>
          <w:color w:val="1F3A56"/>
          <w:sz w:val="28"/>
          <w:szCs w:val="28"/>
        </w:rPr>
        <w:t xml:space="preserve">8. Category-to-Document Routing</w:t>
      </w:r>
    </w:p>
    <w:p>
      <w:pPr>
        <w:spacing w:after="100" w:line="276"/>
      </w:pPr>
      <w:r>
        <w:rPr>
          <w:rFonts w:ascii="Arial" w:cs="Arial" w:eastAsia="Arial" w:hAnsi="Arial"/>
          <w:sz w:val="20"/>
          <w:szCs w:val="20"/>
        </w:rPr>
        <w:t xml:space="preserve">Use this table to decide which KB document answers which type of question. It supports retrieval filtering by doc_type and prevents the assistant from answering from the wrong source.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1800"/>
        <w:gridCol w:w="3360"/>
      </w:tblGrid>
      <w:tr>
        <w:trPr>
          <w:cantSplit/>
          <w:tblHeader/>
        </w:trPr>
        <w:tc>
          <w:tcPr>
            <w:tcW w:type="dxa" w:w="42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30"/>
            </w:pPr>
            <w:r>
              <w:rPr>
                <w:rFonts w:ascii="Arial" w:cs="Arial" w:eastAsia="Arial" w:hAnsi="Arial"/>
                <w:b/>
                <w:bCs/>
                <w:color w:val="FFFFFF"/>
                <w:sz w:val="18"/>
                <w:szCs w:val="18"/>
              </w:rPr>
              <w:t xml:space="preserve">If the question is about</w:t>
            </w:r>
          </w:p>
        </w:tc>
        <w:tc>
          <w:tcPr>
            <w:tcW w:type="dxa" w:w="18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30"/>
            </w:pPr>
            <w:r>
              <w:rPr>
                <w:rFonts w:ascii="Arial" w:cs="Arial" w:eastAsia="Arial" w:hAnsi="Arial"/>
                <w:b/>
                <w:bCs/>
                <w:color w:val="FFFFFF"/>
                <w:sz w:val="18"/>
                <w:szCs w:val="18"/>
              </w:rPr>
              <w:t xml:space="preserve">Primary document</w:t>
            </w:r>
          </w:p>
        </w:tc>
        <w:tc>
          <w:tcPr>
            <w:tcW w:type="dxa" w:w="336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30"/>
            </w:pPr>
            <w:r>
              <w:rPr>
                <w:rFonts w:ascii="Arial" w:cs="Arial" w:eastAsia="Arial" w:hAnsi="Arial"/>
                <w:b/>
                <w:bCs/>
                <w:color w:val="FFFFFF"/>
                <w:sz w:val="18"/>
                <w:szCs w:val="18"/>
              </w:rPr>
              <w:t xml:space="preserve">doc_type</w:t>
            </w:r>
          </w:p>
        </w:tc>
      </w:tr>
      <w:tr>
        <w:trPr>
          <w:cantSplit/>
        </w:trPr>
        <w:tc>
          <w:tcPr>
            <w:tcW w:type="dxa" w:w="42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Which vehicles are supported, vehicle family or usage category</w:t>
            </w:r>
          </w:p>
        </w:tc>
        <w:tc>
          <w:tcPr>
            <w:tcW w:type="dxa" w:w="18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KB-AUTO-001</w:t>
            </w:r>
          </w:p>
        </w:tc>
        <w:tc>
          <w:tcPr>
            <w:tcW w:type="dxa" w:w="336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vehicle_reference</w:t>
            </w:r>
          </w:p>
        </w:tc>
      </w:tr>
      <w:tr>
        <w:trPr>
          <w:cantSplit/>
        </w:trPr>
        <w:tc>
          <w:tcPr>
            <w:tcW w:type="dxa" w:w="42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Service intervals, what is done at each service, next service due</w:t>
            </w:r>
          </w:p>
        </w:tc>
        <w:tc>
          <w:tcPr>
            <w:tcW w:type="dxa" w:w="18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KB-AUTO-002</w:t>
            </w:r>
          </w:p>
        </w:tc>
        <w:tc>
          <w:tcPr>
            <w:tcW w:type="dxa" w:w="336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maintenance_schedule</w:t>
            </w:r>
          </w:p>
        </w:tc>
      </w:tr>
      <w:tr>
        <w:trPr>
          <w:cantSplit/>
        </w:trPr>
        <w:tc>
          <w:tcPr>
            <w:tcW w:type="dxa" w:w="42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Warranty terms, eligibility, exclusions, warranty pre-check</w:t>
            </w:r>
          </w:p>
        </w:tc>
        <w:tc>
          <w:tcPr>
            <w:tcW w:type="dxa" w:w="18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KB-AUTO-003</w:t>
            </w:r>
          </w:p>
        </w:tc>
        <w:tc>
          <w:tcPr>
            <w:tcW w:type="dxa" w:w="336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warranty_policy</w:t>
            </w:r>
          </w:p>
        </w:tc>
      </w:tr>
      <w:tr>
        <w:trPr>
          <w:cantSplit/>
        </w:trPr>
        <w:tc>
          <w:tcPr>
            <w:tcW w:type="dxa" w:w="42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Booking, preparing for a visit, packages, cancellation</w:t>
            </w:r>
          </w:p>
        </w:tc>
        <w:tc>
          <w:tcPr>
            <w:tcW w:type="dxa" w:w="18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KB-AUTO-004</w:t>
            </w:r>
          </w:p>
        </w:tc>
        <w:tc>
          <w:tcPr>
            <w:tcW w:type="dxa" w:w="336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workshop_visit</w:t>
            </w:r>
          </w:p>
        </w:tc>
      </w:tr>
      <w:tr>
        <w:trPr>
          <w:cantSplit/>
        </w:trPr>
        <w:tc>
          <w:tcPr>
            <w:tcW w:type="dxa" w:w="42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A warning light, noise, smell or driving symptom</w:t>
            </w:r>
          </w:p>
        </w:tc>
        <w:tc>
          <w:tcPr>
            <w:tcW w:type="dxa" w:w="18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KB-AUTO-005</w:t>
            </w:r>
          </w:p>
        </w:tc>
        <w:tc>
          <w:tcPr>
            <w:tcW w:type="dxa" w:w="336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symptom_guidance</w:t>
            </w:r>
          </w:p>
        </w:tc>
      </w:tr>
      <w:tr>
        <w:trPr>
          <w:cantSplit/>
        </w:trPr>
        <w:tc>
          <w:tcPr>
            <w:tcW w:type="dxa" w:w="42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Repair status, warranty claim status, roadside assistance</w:t>
            </w:r>
          </w:p>
        </w:tc>
        <w:tc>
          <w:tcPr>
            <w:tcW w:type="dxa" w:w="18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KB-AUTO-006</w:t>
            </w:r>
          </w:p>
        </w:tc>
        <w:tc>
          <w:tcPr>
            <w:tcW w:type="dxa" w:w="336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status_assistance</w:t>
            </w:r>
          </w:p>
        </w:tc>
      </w:tr>
      <w:tr>
        <w:trPr>
          <w:cantSplit/>
        </w:trPr>
        <w:tc>
          <w:tcPr>
            <w:tcW w:type="dxa" w:w="42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Advisor intake, inspection, evidence, SLA (advisor only)</w:t>
            </w:r>
          </w:p>
        </w:tc>
        <w:tc>
          <w:tcPr>
            <w:tcW w:type="dxa" w:w="18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KB-AUTO-007</w:t>
            </w:r>
          </w:p>
        </w:tc>
        <w:tc>
          <w:tcPr>
            <w:tcW w:type="dxa" w:w="336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advisor_operations</w:t>
            </w:r>
          </w:p>
        </w:tc>
      </w:tr>
      <w:tr>
        <w:trPr>
          <w:cantSplit/>
        </w:trPr>
        <w:tc>
          <w:tcPr>
            <w:tcW w:type="dxa" w:w="42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Complaints, warranty disputes, KB administration</w:t>
            </w:r>
          </w:p>
        </w:tc>
        <w:tc>
          <w:tcPr>
            <w:tcW w:type="dxa" w:w="18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KB-AUTO-008</w:t>
            </w:r>
          </w:p>
        </w:tc>
        <w:tc>
          <w:tcPr>
            <w:tcW w:type="dxa" w:w="336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governance</w:t>
            </w:r>
          </w:p>
        </w:tc>
      </w:tr>
    </w:tbl>
    <w:p>
      <w:pPr>
        <w:spacing w:after="100"/>
      </w:pPr>
    </w:p>
    <w:p>
      <w:pPr>
        <w:pStyle w:val="Heading1"/>
        <w:keepNext/>
        <w:spacing w:after="120" w:before="280"/>
      </w:pPr>
      <w:r>
        <w:rPr>
          <w:rFonts w:ascii="Arial" w:cs="Arial" w:eastAsia="Arial" w:hAnsi="Arial"/>
          <w:b/>
          <w:bCs/>
          <w:color w:val="1F3A56"/>
          <w:sz w:val="28"/>
          <w:szCs w:val="28"/>
        </w:rPr>
        <w:t xml:space="preserve">9. Handling Unsupported or Unspecified Vehicles</w:t>
      </w:r>
    </w:p>
    <w:p>
      <w:pPr>
        <w:spacing w:after="100" w:line="276"/>
      </w:pPr>
      <w:r>
        <w:rPr>
          <w:rFonts w:ascii="Arial" w:cs="Arial" w:eastAsia="Arial" w:hAnsi="Arial"/>
          <w:sz w:val="20"/>
          <w:szCs w:val="20"/>
        </w:rPr>
        <w:t xml:space="preserve">The sample solution supports only the five families listed in Section 2. The rules below describe what the assistant should do in each situation.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cantSplit/>
          <w:tblHeader/>
        </w:trPr>
        <w:tc>
          <w:tcPr>
            <w:tcW w:type="dxa" w:w="35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30"/>
            </w:pPr>
            <w:r>
              <w:rPr>
                <w:rFonts w:ascii="Arial" w:cs="Arial" w:eastAsia="Arial" w:hAnsi="Arial"/>
                <w:b/>
                <w:bCs/>
                <w:color w:val="FFFFFF"/>
                <w:sz w:val="18"/>
                <w:szCs w:val="18"/>
              </w:rPr>
              <w:t xml:space="preserve">Situation</w:t>
            </w:r>
          </w:p>
        </w:tc>
        <w:tc>
          <w:tcPr>
            <w:tcW w:type="dxa" w:w="586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30"/>
            </w:pPr>
            <w:r>
              <w:rPr>
                <w:rFonts w:ascii="Arial" w:cs="Arial" w:eastAsia="Arial" w:hAnsi="Arial"/>
                <w:b/>
                <w:bCs/>
                <w:color w:val="FFFFFF"/>
                <w:sz w:val="18"/>
                <w:szCs w:val="18"/>
              </w:rPr>
              <w:t xml:space="preserve">Required Behaviour</w:t>
            </w:r>
          </w:p>
        </w:tc>
      </w:tr>
      <w:tr>
        <w:trPr>
          <w:cantSplit/>
        </w:trPr>
        <w:tc>
          <w:tcPr>
            <w:tcW w:type="dxa" w:w="35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Owner does not state the vehicle family</w:t>
            </w:r>
          </w:p>
        </w:tc>
        <w:tc>
          <w:tcPr>
            <w:tcW w:type="dxa" w:w="586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Retrieve only general guidance tagged vehicle_family=all, and ask which supported family the vehicle belongs to before giving any family-specific answer.</w:t>
            </w:r>
          </w:p>
        </w:tc>
      </w:tr>
      <w:tr>
        <w:trPr>
          <w:cantSplit/>
        </w:trPr>
        <w:tc>
          <w:tcPr>
            <w:tcW w:type="dxa" w:w="35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Owner names a family that is not in Section 2 (for example a hybrid, motorcycle or commercial truck)</w:t>
            </w:r>
          </w:p>
        </w:tc>
        <w:tc>
          <w:tcPr>
            <w:tcW w:type="dxa" w:w="586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State that the vehicle is not covered by the sample knowledge base, give only general guidance tagged vehicle_family=all, and recommend contacting a service advisor.</w:t>
            </w:r>
          </w:p>
        </w:tc>
      </w:tr>
      <w:tr>
        <w:trPr>
          <w:cantSplit/>
        </w:trPr>
        <w:tc>
          <w:tcPr>
            <w:tcW w:type="dxa" w:w="35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Owner gives a registration number but no family</w:t>
            </w:r>
          </w:p>
        </w:tc>
        <w:tc>
          <w:tcPr>
            <w:tcW w:type="dxa" w:w="586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Do not guess the family from the registration. Ask the owner to confirm the family name or code.</w:t>
            </w:r>
          </w:p>
        </w:tc>
      </w:tr>
      <w:tr>
        <w:trPr>
          <w:cantSplit/>
        </w:trPr>
        <w:tc>
          <w:tcPr>
            <w:tcW w:type="dxa" w:w="35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Owner gives a family code with a typing variation (for example "ac-ev1")</w:t>
            </w:r>
          </w:p>
        </w:tc>
        <w:tc>
          <w:tcPr>
            <w:tcW w:type="dxa" w:w="586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Normalise to the closest supported code only when the match is unambiguous; otherwise ask the owner to confirm.</w:t>
            </w:r>
          </w:p>
        </w:tc>
      </w:tr>
      <w:tr>
        <w:trPr>
          <w:cantSplit/>
        </w:trPr>
        <w:tc>
          <w:tcPr>
            <w:tcW w:type="dxa" w:w="35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Question applies to all families (for example safety triage for brake loss)</w:t>
            </w:r>
          </w:p>
        </w:tc>
        <w:tc>
          <w:tcPr>
            <w:tcW w:type="dxa" w:w="586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Answer using vehicle_family=all content without requiring a family.</w:t>
            </w:r>
          </w:p>
        </w:tc>
      </w:tr>
      <w:tr>
        <w:trPr>
          <w:cantSplit/>
        </w:trPr>
        <w:tc>
          <w:tcPr>
            <w:tcW w:type="dxa" w:w="35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Advisor asks about a family not supported</w:t>
            </w:r>
          </w:p>
        </w:tc>
        <w:tc>
          <w:tcPr>
            <w:tcW w:type="dxa" w:w="586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State that no active document exists for that family and recommend raising a KB change request through KB administration (KB-AUTO-008).</w:t>
            </w:r>
          </w:p>
        </w:tc>
      </w:tr>
    </w:tbl>
    <w:p>
      <w:pPr>
        <w:spacing w:after="100"/>
      </w:pPr>
    </w:p>
    <w:p>
      <w:pPr>
        <w:pStyle w:val="Heading1"/>
        <w:keepNext/>
        <w:spacing w:after="120" w:before="280"/>
      </w:pPr>
      <w:r>
        <w:rPr>
          <w:rFonts w:ascii="Arial" w:cs="Arial" w:eastAsia="Arial" w:hAnsi="Arial"/>
          <w:b/>
          <w:bCs/>
          <w:color w:val="1F3A56"/>
          <w:sz w:val="28"/>
          <w:szCs w:val="28"/>
        </w:rPr>
        <w:t xml:space="preserve">10. Retrieval Metadata Reference</w:t>
      </w:r>
    </w:p>
    <w:p>
      <w:pPr>
        <w:spacing w:after="100" w:line="276"/>
      </w:pPr>
      <w:r>
        <w:rPr>
          <w:rFonts w:ascii="Arial" w:cs="Arial" w:eastAsia="Arial" w:hAnsi="Arial"/>
          <w:sz w:val="20"/>
          <w:szCs w:val="20"/>
        </w:rPr>
        <w:t xml:space="preserve">Each chunk of every KB document carries the metadata fields below. This reference extends the rules in Section 4 with allowed values and examples so ingestion and retrieval filters are applied consistently.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000"/>
        <w:gridCol w:w="2660"/>
        <w:gridCol w:w="2000"/>
      </w:tblGrid>
      <w:tr>
        <w:trPr>
          <w:cantSplit/>
          <w:tblHeader/>
        </w:trPr>
        <w:tc>
          <w:tcPr>
            <w:tcW w:type="dxa" w:w="17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30"/>
            </w:pPr>
            <w:r>
              <w:rPr>
                <w:rFonts w:ascii="Arial" w:cs="Arial" w:eastAsia="Arial" w:hAnsi="Arial"/>
                <w:b/>
                <w:bCs/>
                <w:color w:val="FFFFFF"/>
                <w:sz w:val="18"/>
                <w:szCs w:val="18"/>
              </w:rPr>
              <w:t xml:space="preserve">Metadata Field</w:t>
            </w:r>
          </w:p>
        </w:tc>
        <w:tc>
          <w:tcPr>
            <w:tcW w:type="dxa" w:w="30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30"/>
            </w:pPr>
            <w:r>
              <w:rPr>
                <w:rFonts w:ascii="Arial" w:cs="Arial" w:eastAsia="Arial" w:hAnsi="Arial"/>
                <w:b/>
                <w:bCs/>
                <w:color w:val="FFFFFF"/>
                <w:sz w:val="18"/>
                <w:szCs w:val="18"/>
              </w:rPr>
              <w:t xml:space="preserve">Allowed Values</w:t>
            </w:r>
          </w:p>
        </w:tc>
        <w:tc>
          <w:tcPr>
            <w:tcW w:type="dxa" w:w="266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30"/>
            </w:pPr>
            <w:r>
              <w:rPr>
                <w:rFonts w:ascii="Arial" w:cs="Arial" w:eastAsia="Arial" w:hAnsi="Arial"/>
                <w:b/>
                <w:bCs/>
                <w:color w:val="FFFFFF"/>
                <w:sz w:val="18"/>
                <w:szCs w:val="18"/>
              </w:rPr>
              <w:t xml:space="preserve">Meaning</w:t>
            </w:r>
          </w:p>
        </w:tc>
        <w:tc>
          <w:tcPr>
            <w:tcW w:type="dxa" w:w="20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30"/>
            </w:pPr>
            <w:r>
              <w:rPr>
                <w:rFonts w:ascii="Arial" w:cs="Arial" w:eastAsia="Arial" w:hAnsi="Arial"/>
                <w:b/>
                <w:bCs/>
                <w:color w:val="FFFFFF"/>
                <w:sz w:val="18"/>
                <w:szCs w:val="18"/>
              </w:rPr>
              <w:t xml:space="preserve">Example</w:t>
            </w:r>
          </w:p>
        </w:tc>
      </w:tr>
      <w:tr>
        <w:trPr>
          <w:cantSplit/>
        </w:trPr>
        <w:tc>
          <w:tcPr>
            <w:tcW w:type="dxa" w:w="17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doc_code</w:t>
            </w:r>
          </w:p>
        </w:tc>
        <w:tc>
          <w:tcPr>
            <w:tcW w:type="dxa" w:w="30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KB-AUTO-001 to KB-AUTO-008</w:t>
            </w:r>
          </w:p>
        </w:tc>
        <w:tc>
          <w:tcPr>
            <w:tcW w:type="dxa" w:w="266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Unique document identifier used in citations.</w:t>
            </w:r>
          </w:p>
        </w:tc>
        <w:tc>
          <w:tcPr>
            <w:tcW w:type="dxa" w:w="20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KB-AUTO-002</w:t>
            </w:r>
          </w:p>
        </w:tc>
      </w:tr>
      <w:tr>
        <w:trPr>
          <w:cantSplit/>
        </w:trPr>
        <w:tc>
          <w:tcPr>
            <w:tcW w:type="dxa" w:w="17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doc_type</w:t>
            </w:r>
          </w:p>
        </w:tc>
        <w:tc>
          <w:tcPr>
            <w:tcW w:type="dxa" w:w="30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vehicle_reference, maintenance_schedule, warranty_policy, workshop_visit, symptom_guidance, status_assistance, advisor_operations, governance</w:t>
            </w:r>
          </w:p>
        </w:tc>
        <w:tc>
          <w:tcPr>
            <w:tcW w:type="dxa" w:w="266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Document category used for routing and filtering.</w:t>
            </w:r>
          </w:p>
        </w:tc>
        <w:tc>
          <w:tcPr>
            <w:tcW w:type="dxa" w:w="20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warranty_policy</w:t>
            </w:r>
          </w:p>
        </w:tc>
      </w:tr>
      <w:tr>
        <w:trPr>
          <w:cantSplit/>
        </w:trPr>
        <w:tc>
          <w:tcPr>
            <w:tcW w:type="dxa" w:w="17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vehicle_family</w:t>
            </w:r>
          </w:p>
        </w:tc>
        <w:tc>
          <w:tcPr>
            <w:tcW w:type="dxa" w:w="30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AC-HB-P, AC-SD-P, AC-SV-P, AC-SV-D, AC-EV-1, all</w:t>
            </w:r>
          </w:p>
        </w:tc>
        <w:tc>
          <w:tcPr>
            <w:tcW w:type="dxa" w:w="266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Family the chunk applies to; all means general guidance.</w:t>
            </w:r>
          </w:p>
        </w:tc>
        <w:tc>
          <w:tcPr>
            <w:tcW w:type="dxa" w:w="20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AC-EV-1</w:t>
            </w:r>
          </w:p>
        </w:tc>
      </w:tr>
      <w:tr>
        <w:trPr>
          <w:cantSplit/>
        </w:trPr>
        <w:tc>
          <w:tcPr>
            <w:tcW w:type="dxa" w:w="17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audience</w:t>
            </w:r>
          </w:p>
        </w:tc>
        <w:tc>
          <w:tcPr>
            <w:tcW w:type="dxa" w:w="30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owner, advisor, admin (multi-valued where shared)</w:t>
            </w:r>
          </w:p>
        </w:tc>
        <w:tc>
          <w:tcPr>
            <w:tcW w:type="dxa" w:w="266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Roles that may retrieve the chunk.</w:t>
            </w:r>
          </w:p>
        </w:tc>
        <w:tc>
          <w:tcPr>
            <w:tcW w:type="dxa" w:w="20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owner|advisor</w:t>
            </w:r>
          </w:p>
        </w:tc>
      </w:tr>
      <w:tr>
        <w:trPr>
          <w:cantSplit/>
        </w:trPr>
        <w:tc>
          <w:tcPr>
            <w:tcW w:type="dxa" w:w="17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status</w:t>
            </w:r>
          </w:p>
        </w:tc>
        <w:tc>
          <w:tcPr>
            <w:tcW w:type="dxa" w:w="30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active, retired, draft</w:t>
            </w:r>
          </w:p>
        </w:tc>
        <w:tc>
          <w:tcPr>
            <w:tcW w:type="dxa" w:w="266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Only active is eligible for standard answers.</w:t>
            </w:r>
          </w:p>
        </w:tc>
        <w:tc>
          <w:tcPr>
            <w:tcW w:type="dxa" w:w="20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active</w:t>
            </w:r>
          </w:p>
        </w:tc>
      </w:tr>
      <w:tr>
        <w:trPr>
          <w:cantSplit/>
        </w:trPr>
        <w:tc>
          <w:tcPr>
            <w:tcW w:type="dxa" w:w="17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version</w:t>
            </w:r>
          </w:p>
        </w:tc>
        <w:tc>
          <w:tcPr>
            <w:tcW w:type="dxa" w:w="30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v1.0 and later</w:t>
            </w:r>
          </w:p>
        </w:tc>
        <w:tc>
          <w:tcPr>
            <w:tcW w:type="dxa" w:w="266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Document version cited in answers and audit records.</w:t>
            </w:r>
          </w:p>
        </w:tc>
        <w:tc>
          <w:tcPr>
            <w:tcW w:type="dxa" w:w="20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v1.0</w:t>
            </w:r>
          </w:p>
        </w:tc>
      </w:tr>
      <w:tr>
        <w:trPr>
          <w:cantSplit/>
        </w:trPr>
        <w:tc>
          <w:tcPr>
            <w:tcW w:type="dxa" w:w="17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section</w:t>
            </w:r>
          </w:p>
        </w:tc>
        <w:tc>
          <w:tcPr>
            <w:tcW w:type="dxa" w:w="30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Section number and title</w:t>
            </w:r>
          </w:p>
        </w:tc>
        <w:tc>
          <w:tcPr>
            <w:tcW w:type="dxa" w:w="266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Section cited by the assistant.</w:t>
            </w:r>
          </w:p>
        </w:tc>
        <w:tc>
          <w:tcPr>
            <w:tcW w:type="dxa" w:w="20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3. Eligibility Conditions</w:t>
            </w:r>
          </w:p>
        </w:tc>
      </w:tr>
      <w:tr>
        <w:trPr>
          <w:cantSplit/>
        </w:trPr>
        <w:tc>
          <w:tcPr>
            <w:tcW w:type="dxa" w:w="17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effective_date</w:t>
            </w:r>
          </w:p>
        </w:tc>
        <w:tc>
          <w:tcPr>
            <w:tcW w:type="dxa" w:w="30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DD-Mon-YYYY</w:t>
            </w:r>
          </w:p>
        </w:tc>
        <w:tc>
          <w:tcPr>
            <w:tcW w:type="dxa" w:w="266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Date the version became active.</w:t>
            </w:r>
          </w:p>
        </w:tc>
        <w:tc>
          <w:tcPr>
            <w:tcW w:type="dxa" w:w="20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01-Oct-2026</w:t>
            </w:r>
          </w:p>
        </w:tc>
      </w:tr>
    </w:tbl>
    <w:p>
      <w:pPr>
        <w:spacing w:after="100"/>
      </w:pPr>
    </w:p>
    <w:p>
      <w:pPr>
        <w:pStyle w:val="Heading2"/>
        <w:keepNext/>
        <w:spacing w:after="80" w:before="200"/>
      </w:pPr>
      <w:r>
        <w:rPr>
          <w:rFonts w:ascii="Arial" w:cs="Arial" w:eastAsia="Arial" w:hAnsi="Arial"/>
          <w:b/>
          <w:bCs/>
          <w:color w:val="1F4E79"/>
          <w:sz w:val="23"/>
          <w:szCs w:val="23"/>
        </w:rPr>
        <w:t xml:space="preserve">10.1 Example Retrieval Filters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cantSplit/>
          <w:tblHeader/>
        </w:trPr>
        <w:tc>
          <w:tcPr>
            <w:tcW w:type="dxa" w:w="34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30"/>
            </w:pPr>
            <w:r>
              <w:rPr>
                <w:rFonts w:ascii="Arial" w:cs="Arial" w:eastAsia="Arial" w:hAnsi="Arial"/>
                <w:b/>
                <w:bCs/>
                <w:color w:val="FFFFFF"/>
                <w:sz w:val="18"/>
                <w:szCs w:val="18"/>
              </w:rPr>
              <w:t xml:space="preserve">Scenario</w:t>
            </w:r>
          </w:p>
        </w:tc>
        <w:tc>
          <w:tcPr>
            <w:tcW w:type="dxa" w:w="596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30"/>
            </w:pPr>
            <w:r>
              <w:rPr>
                <w:rFonts w:ascii="Arial" w:cs="Arial" w:eastAsia="Arial" w:hAnsi="Arial"/>
                <w:b/>
                <w:bCs/>
                <w:color w:val="FFFFFF"/>
                <w:sz w:val="18"/>
                <w:szCs w:val="18"/>
              </w:rPr>
              <w:t xml:space="preserve">Filter Intent</w:t>
            </w:r>
          </w:p>
        </w:tc>
      </w:tr>
      <w:tr>
        <w:trPr>
          <w:cantSplit/>
        </w:trPr>
        <w:tc>
          <w:tcPr>
            <w:tcW w:type="dxa" w:w="34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Owner asks about service for an EonEV</w:t>
            </w:r>
          </w:p>
        </w:tc>
        <w:tc>
          <w:tcPr>
            <w:tcW w:type="dxa" w:w="596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audience contains owner AND status = active AND (vehicle_family = AC-EV-1 OR vehicle_family = all)</w:t>
            </w:r>
          </w:p>
        </w:tc>
      </w:tr>
      <w:tr>
        <w:trPr>
          <w:cantSplit/>
        </w:trPr>
        <w:tc>
          <w:tcPr>
            <w:tcW w:type="dxa" w:w="34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Owner does not give a family</w:t>
            </w:r>
          </w:p>
        </w:tc>
        <w:tc>
          <w:tcPr>
            <w:tcW w:type="dxa" w:w="596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audience contains owner AND status = active AND vehicle_family = all</w:t>
            </w:r>
          </w:p>
        </w:tc>
      </w:tr>
      <w:tr>
        <w:trPr>
          <w:cantSplit/>
        </w:trPr>
        <w:tc>
          <w:tcPr>
            <w:tcW w:type="dxa" w:w="34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Advisor asks about warranty evidence for a TrailSUV D</w:t>
            </w:r>
          </w:p>
        </w:tc>
        <w:tc>
          <w:tcPr>
            <w:tcW w:type="dxa" w:w="596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audience contains advisor AND status = active AND (vehicle_family = AC-SV-D OR vehicle_family = all)</w:t>
            </w:r>
          </w:p>
        </w:tc>
      </w:tr>
      <w:tr>
        <w:trPr>
          <w:cantSplit/>
        </w:trPr>
        <w:tc>
          <w:tcPr>
            <w:tcW w:type="dxa" w:w="34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Admin asks about KB ingestion</w:t>
            </w:r>
          </w:p>
        </w:tc>
        <w:tc>
          <w:tcPr>
            <w:tcW w:type="dxa" w:w="596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audience contains admin AND status = active</w:t>
            </w:r>
          </w:p>
        </w:tc>
      </w:tr>
    </w:tbl>
    <w:p>
      <w:pPr>
        <w:spacing w:after="100"/>
      </w:pPr>
    </w:p>
    <w:p>
      <w:pPr>
        <w:pStyle w:val="Heading1"/>
        <w:keepNext/>
        <w:spacing w:after="120" w:before="280"/>
      </w:pPr>
      <w:r>
        <w:rPr>
          <w:rFonts w:ascii="Arial" w:cs="Arial" w:eastAsia="Arial" w:hAnsi="Arial"/>
          <w:b/>
          <w:bCs/>
          <w:color w:val="1F3A56"/>
          <w:sz w:val="28"/>
          <w:szCs w:val="28"/>
        </w:rPr>
        <w:t xml:space="preserve">11.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blHeader/>
        </w:trPr>
        <w:tc>
          <w:tcPr>
            <w:tcW w:type="dxa" w:w="24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30"/>
            </w:pPr>
            <w:r>
              <w:rPr>
                <w:rFonts w:ascii="Arial" w:cs="Arial" w:eastAsia="Arial" w:hAnsi="Arial"/>
                <w:b/>
                <w:bCs/>
                <w:color w:val="FFFFFF"/>
                <w:sz w:val="18"/>
                <w:szCs w:val="18"/>
              </w:rPr>
              <w:t xml:space="preserve">Term</w:t>
            </w:r>
          </w:p>
        </w:tc>
        <w:tc>
          <w:tcPr>
            <w:tcW w:type="dxa" w:w="696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30"/>
            </w:pPr>
            <w:r>
              <w:rPr>
                <w:rFonts w:ascii="Arial" w:cs="Arial" w:eastAsia="Arial" w:hAnsi="Arial"/>
                <w:b/>
                <w:bCs/>
                <w:color w:val="FFFFFF"/>
                <w:sz w:val="18"/>
                <w:szCs w:val="18"/>
              </w:rPr>
              <w:t xml:space="preserve">Meaning in This Knowledge Base</w:t>
            </w:r>
          </w:p>
        </w:tc>
      </w:tr>
      <w:tr>
        <w:trPr>
          <w:cantSplit/>
        </w:trPr>
        <w:tc>
          <w:tcPr>
            <w:tcW w:type="dxa" w:w="24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Vehicle family</w:t>
            </w:r>
          </w:p>
        </w:tc>
        <w:tc>
          <w:tcPr>
            <w:tcW w:type="dxa" w:w="696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A named group of vehicles sharing body style and powertrain, identified by a code such as AC-SV-D.</w:t>
            </w:r>
          </w:p>
        </w:tc>
      </w:tr>
      <w:tr>
        <w:trPr>
          <w:cantSplit/>
        </w:trPr>
        <w:tc>
          <w:tcPr>
            <w:tcW w:type="dxa" w:w="24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Powertrain</w:t>
            </w:r>
          </w:p>
        </w:tc>
        <w:tc>
          <w:tcPr>
            <w:tcW w:type="dxa" w:w="696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The combination of energy source and drive components: petrol, diesel or battery electric in this sample.</w:t>
            </w:r>
          </w:p>
        </w:tc>
      </w:tr>
      <w:tr>
        <w:trPr>
          <w:cantSplit/>
        </w:trPr>
        <w:tc>
          <w:tcPr>
            <w:tcW w:type="dxa" w:w="24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Usage category</w:t>
            </w:r>
          </w:p>
        </w:tc>
        <w:tc>
          <w:tcPr>
            <w:tcW w:type="dxa" w:w="696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The operating pattern assigned to a vehicle: Normal, Severe or High-Usage (EV only). Seasonal is an overlay check.</w:t>
            </w:r>
          </w:p>
        </w:tc>
      </w:tr>
      <w:tr>
        <w:trPr>
          <w:cantSplit/>
        </w:trPr>
        <w:tc>
          <w:tcPr>
            <w:tcW w:type="dxa" w:w="24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Service band</w:t>
            </w:r>
          </w:p>
        </w:tc>
        <w:tc>
          <w:tcPr>
            <w:tcW w:type="dxa" w:w="696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A named maintenance step such as Standard Service A, defined in KB-AUTO-002.</w:t>
            </w:r>
          </w:p>
        </w:tc>
      </w:tr>
      <w:tr>
        <w:trPr>
          <w:cantSplit/>
        </w:trPr>
        <w:tc>
          <w:tcPr>
            <w:tcW w:type="dxa" w:w="24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Traction battery</w:t>
            </w:r>
          </w:p>
        </w:tc>
        <w:tc>
          <w:tcPr>
            <w:tcW w:type="dxa" w:w="696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The high-voltage battery that powers an electric vehicle.</w:t>
            </w:r>
          </w:p>
        </w:tc>
      </w:tr>
      <w:tr>
        <w:trPr>
          <w:cantSplit/>
        </w:trPr>
        <w:tc>
          <w:tcPr>
            <w:tcW w:type="dxa" w:w="24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General guidance</w:t>
            </w:r>
          </w:p>
        </w:tc>
        <w:tc>
          <w:tcPr>
            <w:tcW w:type="dxa" w:w="696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Content tagged vehicle_family=all that applies regardless of vehicle family.</w:t>
            </w:r>
          </w:p>
        </w:tc>
      </w:tr>
      <w:tr>
        <w:trPr>
          <w:cantSplit/>
        </w:trPr>
        <w:tc>
          <w:tcPr>
            <w:tcW w:type="dxa" w:w="24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Grounded answer</w:t>
            </w:r>
          </w:p>
        </w:tc>
        <w:tc>
          <w:tcPr>
            <w:tcW w:type="dxa" w:w="696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An answer supported by retrieved active KB content and cited by document code, version and section.</w:t>
            </w:r>
          </w:p>
        </w:tc>
      </w:tr>
      <w:tr>
        <w:trPr>
          <w:cantSplit/>
        </w:trPr>
        <w:tc>
          <w:tcPr>
            <w:tcW w:type="dxa" w:w="24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Service advisor</w:t>
            </w:r>
          </w:p>
        </w:tc>
        <w:tc>
          <w:tcPr>
            <w:tcW w:type="dxa" w:w="696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Authorized workshop staff member who records diagnosis and evidence and makes decisions the assistant cannot make.</w:t>
            </w:r>
          </w:p>
        </w:tc>
      </w:tr>
    </w:tbl>
    <w:p>
      <w:pPr>
        <w:spacing w:after="100"/>
      </w:pPr>
    </w:p>
    <w:p>
      <w:pPr>
        <w:pStyle w:val="Heading1"/>
        <w:keepNext/>
        <w:spacing w:after="120" w:before="280"/>
      </w:pPr>
      <w:r>
        <w:rPr>
          <w:rFonts w:ascii="Arial" w:cs="Arial" w:eastAsia="Arial" w:hAnsi="Arial"/>
          <w:b/>
          <w:bCs/>
          <w:color w:val="1F3A56"/>
          <w:sz w:val="28"/>
          <w:szCs w:val="28"/>
        </w:rPr>
        <w:t xml:space="preserve">12. Frequently Asked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6060"/>
      </w:tblGrid>
      <w:tr>
        <w:trPr>
          <w:cantSplit/>
          <w:tblHeader/>
        </w:trPr>
        <w:tc>
          <w:tcPr>
            <w:tcW w:type="dxa" w:w="33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30"/>
            </w:pPr>
            <w:r>
              <w:rPr>
                <w:rFonts w:ascii="Arial" w:cs="Arial" w:eastAsia="Arial" w:hAnsi="Arial"/>
                <w:b/>
                <w:bCs/>
                <w:color w:val="FFFFFF"/>
                <w:sz w:val="18"/>
                <w:szCs w:val="18"/>
              </w:rPr>
              <w:t xml:space="preserve">Question</w:t>
            </w:r>
          </w:p>
        </w:tc>
        <w:tc>
          <w:tcPr>
            <w:tcW w:type="dxa" w:w="606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30"/>
            </w:pPr>
            <w:r>
              <w:rPr>
                <w:rFonts w:ascii="Arial" w:cs="Arial" w:eastAsia="Arial" w:hAnsi="Arial"/>
                <w:b/>
                <w:bCs/>
                <w:color w:val="FFFFFF"/>
                <w:sz w:val="18"/>
                <w:szCs w:val="18"/>
              </w:rPr>
              <w:t xml:space="preserve">Answer</w:t>
            </w:r>
          </w:p>
        </w:tc>
      </w:tr>
      <w:tr>
        <w:trPr>
          <w:cantSplit/>
        </w:trPr>
        <w:tc>
          <w:tcPr>
            <w:tcW w:type="dxa" w:w="33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Which vehicles does AutoCare AI support?</w:t>
            </w:r>
          </w:p>
        </w:tc>
        <w:tc>
          <w:tcPr>
            <w:tcW w:type="dxa" w:w="606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Five sample families: CityHatch P, MetroSedan P, TrailSUV P, TrailSUV D and EonEV, as listed in Section 2.</w:t>
            </w:r>
          </w:p>
        </w:tc>
      </w:tr>
      <w:tr>
        <w:trPr>
          <w:cantSplit/>
        </w:trPr>
        <w:tc>
          <w:tcPr>
            <w:tcW w:type="dxa" w:w="33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Does my petrol car need the same service as the diesel SUV?</w:t>
            </w:r>
          </w:p>
        </w:tc>
        <w:tc>
          <w:tcPr>
            <w:tcW w:type="dxa" w:w="606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Both follow the standard service bands in KB-AUTO-002. Diesel has additional sample inspection notes, and the severe-use adjustments apply when their conditions are met.</w:t>
            </w:r>
          </w:p>
        </w:tc>
      </w:tr>
      <w:tr>
        <w:trPr>
          <w:cantSplit/>
        </w:trPr>
        <w:tc>
          <w:tcPr>
            <w:tcW w:type="dxa" w:w="33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Why was I asked about my driving conditions?</w:t>
            </w:r>
          </w:p>
        </w:tc>
        <w:tc>
          <w:tcPr>
            <w:tcW w:type="dxa" w:w="606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The usage category affects inspection frequency. Severe conditions such as short trips, long idling, dusty roads or towing add inspections.</w:t>
            </w:r>
          </w:p>
        </w:tc>
      </w:tr>
      <w:tr>
        <w:trPr>
          <w:cantSplit/>
        </w:trPr>
        <w:tc>
          <w:tcPr>
            <w:tcW w:type="dxa" w:w="33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Can an EonEV be classified as Severe?</w:t>
            </w:r>
          </w:p>
        </w:tc>
        <w:tc>
          <w:tcPr>
            <w:tcW w:type="dxa" w:w="606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No. The supported categories for EonEV are Normal and High-Usage. Unusual conditions such as towing require advisor review.</w:t>
            </w:r>
          </w:p>
        </w:tc>
      </w:tr>
      <w:tr>
        <w:trPr>
          <w:cantSplit/>
        </w:trPr>
        <w:tc>
          <w:tcPr>
            <w:tcW w:type="dxa" w:w="33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What if my vehicle is not in the list?</w:t>
            </w:r>
          </w:p>
        </w:tc>
        <w:tc>
          <w:tcPr>
            <w:tcW w:type="dxa" w:w="606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The assistant gives only general guidance and recommends speaking to a service advisor. It does not apply a supported family’s rules to an unsupported vehicle.</w:t>
            </w:r>
          </w:p>
        </w:tc>
      </w:tr>
      <w:tr>
        <w:trPr>
          <w:cantSplit/>
        </w:trPr>
        <w:tc>
          <w:tcPr>
            <w:tcW w:type="dxa" w:w="33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Is this manufacturer policy?</w:t>
            </w:r>
          </w:p>
        </w:tc>
        <w:tc>
          <w:tcPr>
            <w:tcW w:type="dxa" w:w="606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No. All content is fictional capstone sample data and must not be represented as manufacturer or legal policy.</w:t>
            </w:r>
          </w:p>
        </w:tc>
      </w:tr>
    </w:tbl>
    <w:p>
      <w:pPr>
        <w:spacing w:after="100"/>
      </w:pPr>
    </w:p>
    <w:p>
      <w:pPr>
        <w:pStyle w:val="Heading1"/>
        <w:keepNext/>
        <w:spacing w:after="120" w:before="280"/>
      </w:pPr>
      <w:r>
        <w:rPr>
          <w:rFonts w:ascii="Arial" w:cs="Arial" w:eastAsia="Arial" w:hAnsi="Arial"/>
          <w:b/>
          <w:bCs/>
          <w:color w:val="1F3A56"/>
          <w:sz w:val="28"/>
          <w:szCs w:val="28"/>
        </w:rPr>
        <w:t xml:space="preserve">13. Sample Retrieval Questions</w:t>
      </w:r>
    </w:p>
    <w:p>
      <w:pPr>
        <w:spacing w:after="100" w:line="276"/>
      </w:pPr>
      <w:r>
        <w:rPr>
          <w:rFonts w:ascii="Arial" w:cs="Arial" w:eastAsia="Arial" w:hAnsi="Arial"/>
          <w:sz w:val="20"/>
          <w:szCs w:val="20"/>
        </w:rPr>
        <w:t xml:space="preserve">These examples can be used for retrieval testing and prompt evaluation. They show the expected grounding and behaviour for questions within the scope of this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360"/>
        <w:gridCol w:w="3800"/>
      </w:tblGrid>
      <w:tr>
        <w:trPr>
          <w:cantSplit/>
          <w:tblHeader/>
        </w:trPr>
        <w:tc>
          <w:tcPr>
            <w:tcW w:type="dxa" w:w="32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30"/>
            </w:pPr>
            <w:r>
              <w:rPr>
                <w:rFonts w:ascii="Arial" w:cs="Arial" w:eastAsia="Arial" w:hAnsi="Arial"/>
                <w:b/>
                <w:bCs/>
                <w:color w:val="FFFFFF"/>
                <w:sz w:val="18"/>
                <w:szCs w:val="18"/>
              </w:rPr>
              <w:t xml:space="preserve">Sample Owner/Advisor Question</w:t>
            </w:r>
          </w:p>
        </w:tc>
        <w:tc>
          <w:tcPr>
            <w:tcW w:type="dxa" w:w="236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30"/>
            </w:pPr>
            <w:r>
              <w:rPr>
                <w:rFonts w:ascii="Arial" w:cs="Arial" w:eastAsia="Arial" w:hAnsi="Arial"/>
                <w:b/>
                <w:bCs/>
                <w:color w:val="FFFFFF"/>
                <w:sz w:val="18"/>
                <w:szCs w:val="18"/>
              </w:rPr>
              <w:t xml:space="preserve">Expected Grounding</w:t>
            </w:r>
          </w:p>
        </w:tc>
        <w:tc>
          <w:tcPr>
            <w:tcW w:type="dxa" w:w="38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30"/>
            </w:pPr>
            <w:r>
              <w:rPr>
                <w:rFonts w:ascii="Arial" w:cs="Arial" w:eastAsia="Arial" w:hAnsi="Arial"/>
                <w:b/>
                <w:bCs/>
                <w:color w:val="FFFFFF"/>
                <w:sz w:val="18"/>
                <w:szCs w:val="18"/>
              </w:rPr>
              <w:t xml:space="preserve">Expected Assistant Behaviour</w:t>
            </w:r>
          </w:p>
        </w:tc>
      </w:tr>
      <w:tr>
        <w:trPr>
          <w:cantSplit/>
        </w:trPr>
        <w:tc>
          <w:tcPr>
            <w:tcW w:type="dxa" w:w="32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What vehicles do you support?</w:t>
            </w:r>
          </w:p>
        </w:tc>
        <w:tc>
          <w:tcPr>
            <w:tcW w:type="dxa" w:w="236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KB-AUTO-001, Section 2</w:t>
            </w:r>
          </w:p>
        </w:tc>
        <w:tc>
          <w:tcPr>
            <w:tcW w:type="dxa" w:w="38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List the five families with code, powertrain and supported usage; cite the document.</w:t>
            </w:r>
          </w:p>
        </w:tc>
      </w:tr>
      <w:tr>
        <w:trPr>
          <w:cantSplit/>
        </w:trPr>
        <w:tc>
          <w:tcPr>
            <w:tcW w:type="dxa" w:w="32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Is my EonEV Severe or Normal?</w:t>
            </w:r>
          </w:p>
        </w:tc>
        <w:tc>
          <w:tcPr>
            <w:tcW w:type="dxa" w:w="236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KB-AUTO-001, Sections 2 and 7</w:t>
            </w:r>
          </w:p>
        </w:tc>
        <w:tc>
          <w:tcPr>
            <w:tcW w:type="dxa" w:w="38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Explain that EonEV supports Normal and High-Usage only; ask about charging frequency and monthly distance.</w:t>
            </w:r>
          </w:p>
        </w:tc>
      </w:tr>
      <w:tr>
        <w:trPr>
          <w:cantSplit/>
        </w:trPr>
        <w:tc>
          <w:tcPr>
            <w:tcW w:type="dxa" w:w="32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I drive a hybrid. What service do I need?</w:t>
            </w:r>
          </w:p>
        </w:tc>
        <w:tc>
          <w:tcPr>
            <w:tcW w:type="dxa" w:w="236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KB-AUTO-001, Section 9</w:t>
            </w:r>
          </w:p>
        </w:tc>
        <w:tc>
          <w:tcPr>
            <w:tcW w:type="dxa" w:w="38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State the vehicle is not supported; give general guidance only; suggest a service advisor.</w:t>
            </w:r>
          </w:p>
        </w:tc>
      </w:tr>
      <w:tr>
        <w:trPr>
          <w:cantSplit/>
        </w:trPr>
        <w:tc>
          <w:tcPr>
            <w:tcW w:type="dxa" w:w="32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My car is mostly used for short trips and idling.</w:t>
            </w:r>
          </w:p>
        </w:tc>
        <w:tc>
          <w:tcPr>
            <w:tcW w:type="dxa" w:w="236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KB-AUTO-001, Section 7</w:t>
            </w:r>
          </w:p>
        </w:tc>
        <w:tc>
          <w:tcPr>
            <w:tcW w:type="dxa" w:w="38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Suggest the Severe category, ask for vehicle family, and refer to KB-AUTO-002 for adjustments.</w:t>
            </w:r>
          </w:p>
        </w:tc>
      </w:tr>
      <w:tr>
        <w:trPr>
          <w:cantSplit/>
        </w:trPr>
        <w:tc>
          <w:tcPr>
            <w:tcW w:type="dxa" w:w="32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Which document explains warranty exclusions?</w:t>
            </w:r>
          </w:p>
        </w:tc>
        <w:tc>
          <w:tcPr>
            <w:tcW w:type="dxa" w:w="236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KB-AUTO-001, Section 8</w:t>
            </w:r>
          </w:p>
        </w:tc>
        <w:tc>
          <w:tcPr>
            <w:tcW w:type="dxa" w:w="38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Point to KB-AUTO-003 and, if asked, answer from it with citation.</w:t>
            </w:r>
          </w:p>
        </w:tc>
      </w:tr>
      <w:tr>
        <w:trPr>
          <w:cantSplit/>
        </w:trPr>
        <w:tc>
          <w:tcPr>
            <w:tcW w:type="dxa" w:w="32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Do I need an oil change on my EonEV?</w:t>
            </w:r>
          </w:p>
        </w:tc>
        <w:tc>
          <w:tcPr>
            <w:tcW w:type="dxa" w:w="236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KB-AUTO-001, Section 6</w:t>
            </w:r>
          </w:p>
        </w:tc>
        <w:tc>
          <w:tcPr>
            <w:tcW w:type="dxa" w:w="38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Explain that an EV has no engine oil system; refer to EV Annual in KB-AUTO-002.</w:t>
            </w:r>
          </w:p>
        </w:tc>
      </w:tr>
    </w:tbl>
    <w:p>
      <w:pPr>
        <w:spacing w:after="100"/>
      </w:pPr>
    </w:p>
    <w:p>
      <w:pPr>
        <w:pStyle w:val="Heading1"/>
        <w:keepNext/>
        <w:spacing w:after="120" w:before="280"/>
      </w:pPr>
      <w:r>
        <w:rPr>
          <w:rFonts w:ascii="Arial" w:cs="Arial" w:eastAsia="Arial" w:hAnsi="Arial"/>
          <w:b/>
          <w:bCs/>
          <w:color w:val="1F3A56"/>
          <w:sz w:val="28"/>
          <w:szCs w:val="28"/>
        </w:rP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cantSplit/>
          <w:tblHeader/>
        </w:trPr>
        <w:tc>
          <w:tcPr>
            <w:tcW w:type="dxa" w:w="26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30"/>
            </w:pPr>
            <w:r>
              <w:rPr>
                <w:rFonts w:ascii="Arial" w:cs="Arial" w:eastAsia="Arial" w:hAnsi="Arial"/>
                <w:b/>
                <w:bCs/>
                <w:color w:val="FFFFFF"/>
                <w:sz w:val="18"/>
                <w:szCs w:val="18"/>
              </w:rPr>
              <w:t xml:space="preserve">Field</w:t>
            </w:r>
          </w:p>
        </w:tc>
        <w:tc>
          <w:tcPr>
            <w:tcW w:type="dxa" w:w="676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30"/>
            </w:pPr>
            <w:r>
              <w:rPr>
                <w:rFonts w:ascii="Arial" w:cs="Arial" w:eastAsia="Arial" w:hAnsi="Arial"/>
                <w:b/>
                <w:bCs/>
                <w:color w:val="FFFFFF"/>
                <w:sz w:val="18"/>
                <w:szCs w:val="18"/>
              </w:rPr>
              <w:t xml:space="preserve">Value</w:t>
            </w:r>
          </w:p>
        </w:tc>
      </w:tr>
      <w:tr>
        <w:trPr>
          <w:cantSplit/>
        </w:trPr>
        <w:tc>
          <w:tcPr>
            <w:tcW w:type="dxa" w:w="26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Document Owner</w:t>
            </w:r>
          </w:p>
        </w:tc>
        <w:tc>
          <w:tcPr>
            <w:tcW w:type="dxa" w:w="676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AutoCare AI Knowledge Governance Team</w:t>
            </w:r>
          </w:p>
        </w:tc>
      </w:tr>
      <w:tr>
        <w:trPr>
          <w:cantSplit/>
        </w:trPr>
        <w:tc>
          <w:tcPr>
            <w:tcW w:type="dxa" w:w="26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Current Version</w:t>
            </w:r>
          </w:p>
        </w:tc>
        <w:tc>
          <w:tcPr>
            <w:tcW w:type="dxa" w:w="676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v1.0</w:t>
            </w:r>
          </w:p>
        </w:tc>
      </w:tr>
      <w:tr>
        <w:trPr>
          <w:cantSplit/>
        </w:trPr>
        <w:tc>
          <w:tcPr>
            <w:tcW w:type="dxa" w:w="26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Status</w:t>
            </w:r>
          </w:p>
        </w:tc>
        <w:tc>
          <w:tcPr>
            <w:tcW w:type="dxa" w:w="676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Active</w:t>
            </w:r>
          </w:p>
        </w:tc>
      </w:tr>
      <w:tr>
        <w:trPr>
          <w:cantSplit/>
        </w:trPr>
        <w:tc>
          <w:tcPr>
            <w:tcW w:type="dxa" w:w="26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Change Control</w:t>
            </w:r>
          </w:p>
        </w:tc>
        <w:tc>
          <w:tcPr>
            <w:tcW w:type="dxa" w:w="676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Create a new version; validate retrieval; activate new version; retire superseded version without deleting its audit history.</w:t>
            </w:r>
          </w:p>
        </w:tc>
      </w:tr>
    </w:tbl>
    <w:p>
      <w:pPr>
        <w:spacing w:after="100"/>
      </w:pPr>
    </w:p>
    <w:sectPr>
      <w:headerReference w:type="default" r:id="rId7"/>
      <w:footerReference w:type="default" r:id="rId8"/>
      <w:pgSz w:w="12240" w:h="15840" w:orient="portrait"/>
      <w:pgMar w:top="144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1F4E79"/>
        <w:sz w:val="16"/>
        <w:szCs w:val="16"/>
      </w:rPr>
      <w:t xml:space="preserve">KB-AUTO-001  |  Internal / Confidential  |  AutoCare AI  |  Page </w:t>
    </w:r>
    <w:r>
      <w:rPr>
        <w:rFonts w:ascii="Arial" w:cs="Arial" w:eastAsia="Arial" w:hAnsi="Arial"/>
        <w:color w:val="1F4E7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Arial" w:cs="Arial" w:eastAsia="Arial" w:hAnsi="Arial"/>
        <w:color w:val="1F4E79"/>
        <w:sz w:val="16"/>
        <w:szCs w:val="16"/>
      </w:rPr>
      <w:t xml:space="preserve">AutoCare AI  |  Vehicle Families &amp; Maintenance Categories  |  KB-AUTO-001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Arial" w:cs="Arial" w:eastAsia="Arial" w:hAnsi="Arial"/>
      <w:b/>
      <w:bCs/>
      <w:color w:val="1F3A56"/>
      <w:sz w:val="28"/>
      <w:szCs w:val="28"/>
    </w:rPr>
  </w:style>
  <w:style w:type="paragraph" w:styleId="Heading2">
    <w:name w:val="Heading 2"/>
    <w:basedOn w:val="Normal"/>
    <w:next w:val="Normal"/>
    <w:qFormat/>
    <w:pPr>
      <w:spacing w:after="80" w:before="200"/>
      <w:outlineLvl w:val="1"/>
    </w:pPr>
    <w:rPr>
      <w:rFonts w:ascii="Arial" w:cs="Arial" w:eastAsia="Arial" w:hAnsi="Arial"/>
      <w:b/>
      <w:bCs/>
      <w:color w:val="1F4E79"/>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KB-AUTO-001 Vehicle Families &amp; Maintenance Categories</dc:title>
  <dc:creator>AutoCare AI Knowledge Governance Team</dc:creator>
  <cp:lastModifiedBy>Un-named</cp:lastModifiedBy>
  <cp:revision>1</cp:revision>
  <dcterms:created xsi:type="dcterms:W3CDTF">2026-10-14T10:31:46.428Z</dcterms:created>
  <dcterms:modified xsi:type="dcterms:W3CDTF">2026-10-14T10:31:46.428Z</dcterms:modified>
</cp:coreProperties>
</file>

<file path=docProps/custom.xml><?xml version="1.0" encoding="utf-8"?>
<Properties xmlns="http://schemas.openxmlformats.org/officeDocument/2006/custom-properties" xmlns:vt="http://schemas.openxmlformats.org/officeDocument/2006/docPropsVTypes"/>
</file>