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Warranty Coverage, Eligibility &amp; Exclusions</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KB-AUTO-003</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Warranty</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doc_type=warranty_policy,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defines fictional sample warranty coverage, conditions, exclusions and pre-check guidance. Final claim decisions remain with authorized service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Sample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Coverage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Term</w:t>
            </w:r>
          </w:p>
        </w:tc>
        <w:tc>
          <w:tcPr>
            <w:tcW w:type="dxa" w:w="4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Covered Scope</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Base Vehicle</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years or 100,000 km, whichever occurs first</w:t>
            </w:r>
          </w:p>
        </w:tc>
        <w:tc>
          <w:tcPr>
            <w:tcW w:type="dxa" w:w="4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Defects in covered factory-installed mechanical and electrical parts.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Powertrain</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5 years or 120,000 km, whichever occurs first</w:t>
            </w:r>
          </w:p>
        </w:tc>
        <w:tc>
          <w:tcPr>
            <w:tcW w:type="dxa" w:w="4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transmission and final-drive components listed in the policy.</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Traction Battery</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8 years or 160,000 km, whichever occurs first</w:t>
            </w:r>
          </w:p>
        </w:tc>
        <w:tc>
          <w:tcPr>
            <w:tcW w:type="dxa" w:w="4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Defect or capacity below the sample threshold of 70%, subject to diagnostic confirmation.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Replacement Part</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12 months or 20,000 km, whichever occurs first</w:t>
            </w:r>
          </w:p>
        </w:tc>
        <w:tc>
          <w:tcPr>
            <w:tcW w:type="dxa" w:w="4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Authorized replacement part installed and invoiced by an approved workshop.</w:t>
            </w:r>
          </w:p>
        </w:tc>
      </w:tr>
    </w:tbl>
    <w:p>
      <w:pPr>
        <w:spacing w:after="100"/>
      </w:pPr>
    </w:p>
    <w:p>
      <w:pPr>
        <w:pStyle w:val="Heading1"/>
        <w:keepNext/>
        <w:spacing w:after="120" w:before="280"/>
      </w:pPr>
      <w:r>
        <w:rPr>
          <w:rFonts w:ascii="Arial" w:cs="Arial" w:eastAsia="Arial" w:hAnsi="Arial"/>
          <w:b/>
          <w:bCs/>
          <w:color w:val="1F3A56"/>
          <w:sz w:val="28"/>
          <w:szCs w:val="28"/>
        </w:rPr>
        <w:t xml:space="preserve">3. Eligibility Conditions</w:t>
      </w:r>
    </w:p>
    <w:p>
      <w:pPr>
        <w:pStyle w:val="ListParagraph"/>
        <w:numPr>
          <w:ilvl w:val="0"/>
          <w:numId w:val="2"/>
        </w:numPr>
        <w:spacing w:after="60" w:line="264"/>
      </w:pPr>
      <w:r>
        <w:rPr>
          <w:rFonts w:ascii="Arial" w:cs="Arial" w:eastAsia="Arial" w:hAnsi="Arial"/>
          <w:sz w:val="20"/>
          <w:szCs w:val="20"/>
        </w:rPr>
        <w:t xml:space="preserve">Vehicle must fall within both applicable time and distance limits.</w:t>
      </w:r>
    </w:p>
    <w:p>
      <w:pPr>
        <w:pStyle w:val="ListParagraph"/>
        <w:numPr>
          <w:ilvl w:val="0"/>
          <w:numId w:val="2"/>
        </w:numPr>
        <w:spacing w:after="60" w:line="264"/>
      </w:pPr>
      <w:r>
        <w:rPr>
          <w:rFonts w:ascii="Arial" w:cs="Arial" w:eastAsia="Arial" w:hAnsi="Arial"/>
          <w:sz w:val="20"/>
          <w:szCs w:val="20"/>
        </w:rPr>
        <w:t xml:space="preserve">The concern must relate to a component listed within the relevant coverage category.</w:t>
      </w:r>
    </w:p>
    <w:p>
      <w:pPr>
        <w:pStyle w:val="ListParagraph"/>
        <w:numPr>
          <w:ilvl w:val="0"/>
          <w:numId w:val="2"/>
        </w:numPr>
        <w:spacing w:after="60" w:line="264"/>
      </w:pPr>
      <w:r>
        <w:rPr>
          <w:rFonts w:ascii="Arial" w:cs="Arial" w:eastAsia="Arial" w:hAnsi="Arial"/>
          <w:sz w:val="20"/>
          <w:szCs w:val="20"/>
        </w:rPr>
        <w:t xml:space="preserve">Maintenance evidence must be available when the concern could be affected by maintenance.</w:t>
      </w:r>
    </w:p>
    <w:p>
      <w:pPr>
        <w:pStyle w:val="ListParagraph"/>
        <w:numPr>
          <w:ilvl w:val="0"/>
          <w:numId w:val="2"/>
        </w:numPr>
        <w:spacing w:after="60" w:line="264"/>
      </w:pPr>
      <w:r>
        <w:rPr>
          <w:rFonts w:ascii="Arial" w:cs="Arial" w:eastAsia="Arial" w:hAnsi="Arial"/>
          <w:sz w:val="20"/>
          <w:szCs w:val="20"/>
        </w:rPr>
        <w:t xml:space="preserve">Diagnosis and claim evidence must be recorded by an authorized service advisor.</w:t>
      </w:r>
    </w:p>
    <w:p>
      <w:pPr>
        <w:pStyle w:val="ListParagraph"/>
        <w:numPr>
          <w:ilvl w:val="0"/>
          <w:numId w:val="2"/>
        </w:numPr>
        <w:spacing w:after="60" w:line="264"/>
      </w:pPr>
      <w:r>
        <w:rPr>
          <w:rFonts w:ascii="Arial" w:cs="Arial" w:eastAsia="Arial" w:hAnsi="Arial"/>
          <w:sz w:val="20"/>
          <w:szCs w:val="20"/>
        </w:rPr>
        <w:t xml:space="preserve">Guidance from AutoCare AI is preliminary and does not approve the claim.</w:t>
      </w:r>
    </w:p>
    <w:p>
      <w:pPr>
        <w:pStyle w:val="Heading1"/>
        <w:keepNext/>
        <w:spacing w:after="120" w:before="280"/>
      </w:pPr>
      <w:r>
        <w:rPr>
          <w:rFonts w:ascii="Arial" w:cs="Arial" w:eastAsia="Arial" w:hAnsi="Arial"/>
          <w:b/>
          <w:bCs/>
          <w:color w:val="1F3A56"/>
          <w:sz w:val="28"/>
          <w:szCs w:val="28"/>
        </w:rPr>
        <w:t xml:space="preserve">4.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Exclusion</w:t>
            </w:r>
          </w:p>
        </w:tc>
        <w:tc>
          <w:tcPr>
            <w:tcW w:type="dxa" w:w="6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Examples</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Wear and maintenance items</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pads, wiper blades, bulbs, filters and routine fluids unless a separate defect is established.</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Accident or external damage</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Collision, flood, fire, impact, rodent damage and environmental contamination.</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Unauthorized modification</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Unapproved tuning, wiring changes, accessories or altered control software.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Improper maintenance or fluid</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Missed required maintenance, incorrect grade or contaminated fluid where causally relevant.</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Commercial misuse</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Use outside the supported duty class defined for the vehicle policy.</w:t>
            </w:r>
          </w:p>
        </w:tc>
      </w:tr>
    </w:tbl>
    <w:p>
      <w:pPr>
        <w:spacing w:after="100"/>
      </w:pPr>
    </w:p>
    <w:p>
      <w:pPr>
        <w:pStyle w:val="Heading1"/>
        <w:keepNext/>
        <w:spacing w:after="120" w:before="280"/>
      </w:pPr>
      <w:r>
        <w:rPr>
          <w:rFonts w:ascii="Arial" w:cs="Arial" w:eastAsia="Arial" w:hAnsi="Arial"/>
          <w:b/>
          <w:bCs/>
          <w:color w:val="1F3A56"/>
          <w:sz w:val="28"/>
          <w:szCs w:val="28"/>
        </w:rPr>
        <w:t xml:space="preserve">5. Warranty Pre-Check Output</w:t>
      </w:r>
    </w:p>
    <w:p>
      <w:pPr>
        <w:spacing w:after="100" w:line="276"/>
      </w:pPr>
      <w:r>
        <w:rPr>
          <w:rFonts w:ascii="Arial" w:cs="Arial" w:eastAsia="Arial" w:hAnsi="Arial"/>
          <w:sz w:val="20"/>
          <w:szCs w:val="20"/>
        </w:rPr>
        <w:t xml:space="preserve">The assistant may return: potentially covered, potentially excluded, insufficient evidence, or advisor review required. It must never return approved or rejected as a final claim decision.</w:t>
      </w:r>
    </w:p>
    <w:p>
      <w:pPr>
        <w:pStyle w:val="Heading1"/>
        <w:keepNext/>
        <w:spacing w:after="120" w:before="280"/>
      </w:pPr>
      <w:r>
        <w:rPr>
          <w:rFonts w:ascii="Arial" w:cs="Arial" w:eastAsia="Arial" w:hAnsi="Arial"/>
          <w:b/>
          <w:bCs/>
          <w:color w:val="1F3A56"/>
          <w:sz w:val="28"/>
          <w:szCs w:val="28"/>
        </w:rPr>
        <w:t xml:space="preserve">6. Sample Covered Component Lists</w:t>
      </w:r>
    </w:p>
    <w:p>
      <w:pPr>
        <w:spacing w:after="100" w:line="276"/>
      </w:pPr>
      <w:r>
        <w:rPr>
          <w:rFonts w:ascii="Arial" w:cs="Arial" w:eastAsia="Arial" w:hAnsi="Arial"/>
          <w:sz w:val="20"/>
          <w:szCs w:val="20"/>
        </w:rPr>
        <w:t xml:space="preserve">Section 2 refers to components “listed in the policy”. The lists below are the sample component lists used by AutoCare AI. A component that is not on the relevant list is not treated as covered by the assistant; in that case the pre-check result is </w:t>
      </w:r>
      <w:r>
        <w:rPr>
          <w:rFonts w:ascii="Arial" w:cs="Arial" w:eastAsia="Arial" w:hAnsi="Arial"/>
          <w:b/>
          <w:bCs/>
          <w:sz w:val="20"/>
          <w:szCs w:val="20"/>
        </w:rPr>
        <w:t xml:space="preserve">advisor review required</w:t>
      </w:r>
      <w:r>
        <w:rPr>
          <w:rFonts w:ascii="Arial" w:cs="Arial" w:eastAsia="Arial" w:hAnsi="Arial"/>
          <w:sz w:val="20"/>
          <w:szCs w:val="20"/>
        </w:rPr>
        <w:t xml:space="preserve"> and the owner is told that only an authorized service advisor can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Coverage</w:t>
            </w:r>
          </w:p>
        </w:tc>
        <w:tc>
          <w:tcPr>
            <w:tcW w:type="dxa" w:w="42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Listed Components</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Not Covered Under This Coverage</w:t>
            </w:r>
          </w:p>
        </w:tc>
      </w:tr>
      <w:tr>
        <w:trPr>
          <w:cantSplit/>
        </w:trPr>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Base Vehicle</w:t>
            </w:r>
          </w:p>
        </w:tc>
        <w:tc>
          <w:tcPr>
            <w:tcW w:type="dxa" w:w="4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Steering gear and linkages; suspension arms, springs and dampers; wheel bearings;</w:t>
            </w:r>
          </w:p>
          <w:p>
            <w:pPr>
              <w:spacing w:after="30"/>
            </w:pPr>
            <w:r>
              <w:rPr>
                <w:rFonts w:ascii="Arial" w:cs="Arial" w:eastAsia="Arial" w:hAnsi="Arial"/>
                <w:sz w:val="18"/>
                <w:szCs w:val="18"/>
              </w:rPr>
              <w:t xml:space="preserve">wiring harnesses, control modules and sensors;</w:t>
            </w:r>
          </w:p>
          <w:p>
            <w:pPr>
              <w:spacing w:after="30"/>
            </w:pPr>
            <w:r>
              <w:rPr>
                <w:rFonts w:ascii="Arial" w:cs="Arial" w:eastAsia="Arial" w:hAnsi="Arial"/>
                <w:sz w:val="18"/>
                <w:szCs w:val="18"/>
              </w:rPr>
              <w:t xml:space="preserve">infotainment head unit and display;</w:t>
            </w:r>
          </w:p>
          <w:p>
            <w:pPr>
              <w:spacing w:after="30"/>
            </w:pPr>
            <w:r>
              <w:rPr>
                <w:rFonts w:ascii="Arial" w:cs="Arial" w:eastAsia="Arial" w:hAnsi="Arial"/>
                <w:sz w:val="18"/>
                <w:szCs w:val="18"/>
              </w:rPr>
              <w:t xml:space="preserve">air-conditioning compressor and controls;</w:t>
            </w:r>
          </w:p>
          <w:p>
            <w:pPr>
              <w:spacing w:after="30"/>
            </w:pPr>
            <w:r>
              <w:rPr>
                <w:rFonts w:ascii="Arial" w:cs="Arial" w:eastAsia="Arial" w:hAnsi="Arial"/>
                <w:sz w:val="18"/>
                <w:szCs w:val="18"/>
              </w:rPr>
              <w:t xml:space="preserve">door locks, window motors and central locking.</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Wear items listed in Section 4; powertrain components covered separately; accessories added after delivery.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Powertrain (combustion: AC-HB-P, AC-SD-P, AC-SV-P, AC-SV-D)</w:t>
            </w:r>
          </w:p>
        </w:tc>
        <w:tc>
          <w:tcPr>
            <w:tcW w:type="dxa" w:w="4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cylinder block and head, crankshaft, pistons, camshafts, timing drive, oil pump;</w:t>
            </w:r>
          </w:p>
          <w:p>
            <w:pPr>
              <w:spacing w:after="30"/>
            </w:pPr>
            <w:r>
              <w:rPr>
                <w:rFonts w:ascii="Arial" w:cs="Arial" w:eastAsia="Arial" w:hAnsi="Arial"/>
                <w:sz w:val="18"/>
                <w:szCs w:val="18"/>
              </w:rPr>
              <w:t xml:space="preserve">transmission: case and internal gears, torque converter where fitted;</w:t>
            </w:r>
          </w:p>
          <w:p>
            <w:pPr>
              <w:spacing w:after="30"/>
            </w:pPr>
            <w:r>
              <w:rPr>
                <w:rFonts w:ascii="Arial" w:cs="Arial" w:eastAsia="Arial" w:hAnsi="Arial"/>
                <w:sz w:val="18"/>
                <w:szCs w:val="18"/>
              </w:rPr>
              <w:t xml:space="preserve">final drive: differential, drive shafts and axle shafts.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Clutch lining, spark plugs, filters, belts and routine fluids as wear or maintenance items.</w:t>
            </w:r>
          </w:p>
        </w:tc>
      </w:tr>
      <w:tr>
        <w:trPr>
          <w:cantSplit/>
        </w:trPr>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Powertrain (electric: AC-EV-1)</w:t>
            </w:r>
          </w:p>
        </w:tc>
        <w:tc>
          <w:tcPr>
            <w:tcW w:type="dxa" w:w="4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Electric drive unit: motor, inverter and reduction gear;</w:t>
            </w:r>
          </w:p>
          <w:p>
            <w:pPr>
              <w:spacing w:after="30"/>
            </w:pPr>
            <w:r>
              <w:rPr>
                <w:rFonts w:ascii="Arial" w:cs="Arial" w:eastAsia="Arial" w:hAnsi="Arial"/>
                <w:sz w:val="18"/>
                <w:szCs w:val="18"/>
              </w:rPr>
              <w:t xml:space="preserve">drive shafts.</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 cables and consumable items.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 Traction Battery (AC-EV-1)</w:t>
            </w:r>
          </w:p>
        </w:tc>
        <w:tc>
          <w:tcPr>
            <w:tcW w:type="dxa" w:w="4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Traction battery pack and modules;</w:t>
            </w:r>
          </w:p>
          <w:p>
            <w:pPr>
              <w:spacing w:after="30"/>
            </w:pPr>
            <w:r>
              <w:rPr>
                <w:rFonts w:ascii="Arial" w:cs="Arial" w:eastAsia="Arial" w:hAnsi="Arial"/>
                <w:sz w:val="18"/>
                <w:szCs w:val="18"/>
              </w:rPr>
              <w:t xml:space="preserve">battery management system;</w:t>
            </w:r>
          </w:p>
          <w:p>
            <w:pPr>
              <w:spacing w:after="30"/>
            </w:pPr>
            <w:r>
              <w:rPr>
                <w:rFonts w:ascii="Arial" w:cs="Arial" w:eastAsia="Arial" w:hAnsi="Arial"/>
                <w:sz w:val="18"/>
                <w:szCs w:val="18"/>
              </w:rPr>
              <w:t xml:space="preserve">battery thermal-management components inside the pack.</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Damage from external impact, flood or charging equipment faults not originating in the vehicle.</w:t>
            </w:r>
          </w:p>
        </w:tc>
      </w:tr>
      <w:tr>
        <w:trPr>
          <w:cantSplit/>
        </w:trPr>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Replacement Part</w:t>
            </w:r>
          </w:p>
        </w:tc>
        <w:tc>
          <w:tcPr>
            <w:tcW w:type="dxa" w:w="4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the specific authorized part that was installed and invoiced by an approved workshop.</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Other parts of the vehicle and any part not appearing on the invoice.</w:t>
            </w:r>
          </w:p>
        </w:tc>
      </w:tr>
    </w:tbl>
    <w:p>
      <w:pPr>
        <w:spacing w:after="100"/>
      </w:pPr>
    </w:p>
    <w:p>
      <w:pPr>
        <w:pStyle w:val="Heading1"/>
        <w:keepNext/>
        <w:spacing w:after="120" w:before="280"/>
      </w:pPr>
      <w:r>
        <w:rPr>
          <w:rFonts w:ascii="Arial" w:cs="Arial" w:eastAsia="Arial" w:hAnsi="Arial"/>
          <w:b/>
          <w:bCs/>
          <w:color w:val="1F3A56"/>
          <w:sz w:val="28"/>
          <w:szCs w:val="28"/>
        </w:rPr>
        <w:t xml:space="preserve">7. Coverage Terms in Detail</w:t>
      </w:r>
    </w:p>
    <w:p>
      <w:pPr>
        <w:pStyle w:val="Heading2"/>
        <w:keepNext/>
        <w:spacing w:after="80" w:before="200"/>
      </w:pPr>
      <w:r>
        <w:rPr>
          <w:rFonts w:ascii="Arial" w:cs="Arial" w:eastAsia="Arial" w:hAnsi="Arial"/>
          <w:b/>
          <w:bCs/>
          <w:color w:val="1F4E79"/>
          <w:sz w:val="23"/>
          <w:szCs w:val="23"/>
        </w:rPr>
        <w:t xml:space="preserve">7.1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Term</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Definition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In-service date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date on which the vehicle was first delivered to the owner according to the proof of purchase. Time limits are counted from this 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Odometer reading</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distance recorded by the vehicle at the time of the concern, recorded by the service advisor at check-in.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Whichever occurs first</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Coverage ends on the earlier of the time limit and the distance limit. Both limits must still be satisfied on the date of the concern.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Maintenance evidence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invoices, job-card records or workshop history showing the required maintenance was carried out on time.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Causal relevance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documented link between an exclusion condition and the concern, for example contaminated fluid that plausibly caused the failure.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Diagnostic confirmation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measurement or test performed by authorized personnel, such as the traction-battery capacity test.</w:t>
            </w:r>
          </w:p>
        </w:tc>
      </w:tr>
    </w:tbl>
    <w:p>
      <w:pPr>
        <w:spacing w:after="100"/>
      </w:pPr>
    </w:p>
    <w:p>
      <w:pPr>
        <w:pStyle w:val="Heading2"/>
        <w:keepNext/>
        <w:spacing w:after="80" w:before="200"/>
      </w:pPr>
      <w:r>
        <w:rPr>
          <w:rFonts w:ascii="Arial" w:cs="Arial" w:eastAsia="Arial" w:hAnsi="Arial"/>
          <w:b/>
          <w:bCs/>
          <w:color w:val="1F4E79"/>
          <w:sz w:val="23"/>
          <w:szCs w:val="23"/>
        </w:rPr>
        <w:t xml:space="preserve">7.2 Which Coverage Applies When More Than One Could Apply</w:t>
      </w:r>
    </w:p>
    <w:p>
      <w:pPr>
        <w:pStyle w:val="ListParagraph"/>
        <w:numPr>
          <w:ilvl w:val="0"/>
          <w:numId w:val="2"/>
        </w:numPr>
        <w:spacing w:after="60" w:line="264"/>
      </w:pPr>
      <w:r>
        <w:rPr>
          <w:rFonts w:ascii="Arial" w:cs="Arial" w:eastAsia="Arial" w:hAnsi="Arial"/>
          <w:sz w:val="20"/>
          <w:szCs w:val="20"/>
        </w:rPr>
        <w:t xml:space="preserve">A listed powertrain component is assessed under </w:t>
      </w:r>
      <w:r>
        <w:rPr>
          <w:rFonts w:ascii="Arial" w:cs="Arial" w:eastAsia="Arial" w:hAnsi="Arial"/>
          <w:b/>
          <w:bCs/>
          <w:sz w:val="20"/>
          <w:szCs w:val="20"/>
        </w:rPr>
        <w:t xml:space="preserve">Powertrain</w:t>
      </w:r>
      <w:r>
        <w:rPr>
          <w:rFonts w:ascii="Arial" w:cs="Arial" w:eastAsia="Arial" w:hAnsi="Arial"/>
          <w:sz w:val="20"/>
          <w:szCs w:val="20"/>
        </w:rPr>
        <w:t xml:space="preserve">, which has the longer term, rather than under Base Vehicle.</w:t>
      </w:r>
    </w:p>
    <w:p>
      <w:pPr>
        <w:pStyle w:val="ListParagraph"/>
        <w:numPr>
          <w:ilvl w:val="0"/>
          <w:numId w:val="2"/>
        </w:numPr>
        <w:spacing w:after="60" w:line="264"/>
      </w:pPr>
      <w:r>
        <w:rPr>
          <w:rFonts w:ascii="Arial" w:cs="Arial" w:eastAsia="Arial" w:hAnsi="Arial"/>
          <w:sz w:val="20"/>
          <w:szCs w:val="20"/>
        </w:rPr>
        <w:t xml:space="preserve">A listed traction-battery component on AC-EV-1 is assessed under </w:t>
      </w:r>
      <w:r>
        <w:rPr>
          <w:rFonts w:ascii="Arial" w:cs="Arial" w:eastAsia="Arial" w:hAnsi="Arial"/>
          <w:b/>
          <w:bCs/>
          <w:sz w:val="20"/>
          <w:szCs w:val="20"/>
        </w:rPr>
        <w:t xml:space="preserve">EV Traction Battery</w:t>
      </w:r>
      <w:r>
        <w:rPr>
          <w:rFonts w:ascii="Arial" w:cs="Arial" w:eastAsia="Arial" w:hAnsi="Arial"/>
          <w:sz w:val="20"/>
          <w:szCs w:val="20"/>
        </w:rPr>
        <w:t xml:space="preserve">.</w:t>
      </w:r>
    </w:p>
    <w:p>
      <w:pPr>
        <w:pStyle w:val="ListParagraph"/>
        <w:numPr>
          <w:ilvl w:val="0"/>
          <w:numId w:val="2"/>
        </w:numPr>
        <w:spacing w:after="60" w:line="264"/>
      </w:pPr>
      <w:r>
        <w:rPr>
          <w:rFonts w:ascii="Arial" w:cs="Arial" w:eastAsia="Arial" w:hAnsi="Arial"/>
          <w:sz w:val="20"/>
          <w:szCs w:val="20"/>
        </w:rPr>
        <w:t xml:space="preserve">A part that was replaced by an approved workshop is assessed under </w:t>
      </w:r>
      <w:r>
        <w:rPr>
          <w:rFonts w:ascii="Arial" w:cs="Arial" w:eastAsia="Arial" w:hAnsi="Arial"/>
          <w:b/>
          <w:bCs/>
          <w:sz w:val="20"/>
          <w:szCs w:val="20"/>
        </w:rPr>
        <w:t xml:space="preserve">Replacement Part</w:t>
      </w:r>
      <w:r>
        <w:rPr>
          <w:rFonts w:ascii="Arial" w:cs="Arial" w:eastAsia="Arial" w:hAnsi="Arial"/>
          <w:sz w:val="20"/>
          <w:szCs w:val="20"/>
        </w:rPr>
        <w:t xml:space="preserve"> for that part, while the rest of the vehicle stays under its original coverage.</w:t>
      </w:r>
    </w:p>
    <w:p>
      <w:pPr>
        <w:pStyle w:val="ListParagraph"/>
        <w:numPr>
          <w:ilvl w:val="0"/>
          <w:numId w:val="2"/>
        </w:numPr>
        <w:spacing w:after="60" w:line="264"/>
      </w:pPr>
      <w:r>
        <w:rPr>
          <w:rFonts w:ascii="Arial" w:cs="Arial" w:eastAsia="Arial" w:hAnsi="Arial"/>
          <w:sz w:val="20"/>
          <w:szCs w:val="20"/>
        </w:rPr>
        <w:t xml:space="preserve">A concern may be assessed under more than one coverage; the assistant lists the possible coverages but does not choose the final one, which is an advisor decision.</w:t>
      </w:r>
    </w:p>
    <w:p>
      <w:pPr>
        <w:pStyle w:val="ListParagraph"/>
        <w:numPr>
          <w:ilvl w:val="0"/>
          <w:numId w:val="2"/>
        </w:numPr>
        <w:spacing w:after="60" w:line="264"/>
      </w:pPr>
      <w:r>
        <w:rPr>
          <w:rFonts w:ascii="Arial" w:cs="Arial" w:eastAsia="Arial" w:hAnsi="Arial"/>
          <w:sz w:val="20"/>
          <w:szCs w:val="20"/>
        </w:rPr>
        <w:t xml:space="preserve">Coverage terms are checked independently. A vehicle may be outside Base Vehicle coverage and still within Powertrain coverage for a listed powertrain component.</w:t>
      </w:r>
    </w:p>
    <w:p>
      <w:pPr>
        <w:pStyle w:val="Heading2"/>
        <w:keepNext/>
        <w:spacing w:after="80" w:before="200"/>
      </w:pPr>
      <w:r>
        <w:rPr>
          <w:rFonts w:ascii="Arial" w:cs="Arial" w:eastAsia="Arial" w:hAnsi="Arial"/>
          <w:b/>
          <w:bCs/>
          <w:color w:val="1F4E79"/>
          <w:sz w:val="23"/>
          <w:szCs w:val="23"/>
        </w:rPr>
        <w:t xml:space="preserve">7.3 Term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Vehicle Position</w:t>
            </w:r>
          </w:p>
        </w:tc>
        <w:tc>
          <w:tcPr>
            <w:tcW w:type="dxa" w:w="31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Base Vehicle (3 yr / 100,000 km)</w:t>
            </w:r>
          </w:p>
        </w:tc>
        <w:tc>
          <w:tcPr>
            <w:tcW w:type="dxa" w:w="31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Powertrain (5 yr / 120,000 km)</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2 years 11 months, 95,000 km</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both limits</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both limits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 years 6 months, 105,000 km</w:t>
            </w:r>
          </w:p>
        </w:tc>
        <w:tc>
          <w:tcPr>
            <w:tcW w:type="dxa" w:w="31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Outside (distance exceeded)</w:t>
            </w:r>
          </w:p>
        </w:tc>
        <w:tc>
          <w:tcPr>
            <w:tcW w:type="dxa" w:w="31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both limits</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years 1 month, 50,000 km</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Outside (time exceeded)</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both limits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 years 8 months, 118,000 km</w:t>
            </w:r>
          </w:p>
        </w:tc>
        <w:tc>
          <w:tcPr>
            <w:tcW w:type="dxa" w:w="31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Outside</w:t>
            </w:r>
          </w:p>
        </w:tc>
        <w:tc>
          <w:tcPr>
            <w:tcW w:type="dxa" w:w="31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both limits</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 years 1 month, 80,000 km</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Outside</w:t>
            </w:r>
          </w:p>
        </w:tc>
        <w:tc>
          <w:tcPr>
            <w:tcW w:type="dxa" w:w="31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Outside (time exceeded)</w:t>
            </w:r>
          </w:p>
        </w:tc>
      </w:tr>
    </w:tbl>
    <w:p>
      <w:pPr>
        <w:spacing w:after="100"/>
      </w:pPr>
    </w:p>
    <w:p>
      <w:pPr>
        <w:spacing w:after="100" w:line="276"/>
      </w:pPr>
      <w:r>
        <w:rPr>
          <w:rFonts w:ascii="Arial" w:cs="Arial" w:eastAsia="Arial" w:hAnsi="Arial"/>
          <w:sz w:val="20"/>
          <w:szCs w:val="20"/>
        </w:rPr>
        <w:t xml:space="preserve">For the EV Traction Battery (8 years or 160,000 km) the same principle applies: the vehicle must be inside both limits, and a capacity below the 70% sample threshold must be confirmed by diagnosis. A capacity reading shown on the dashboard alone is not diagnostic confirmation.</w:t>
      </w:r>
    </w:p>
    <w:p>
      <w:pPr>
        <w:pStyle w:val="Heading1"/>
        <w:keepNext/>
        <w:spacing w:after="120" w:before="280"/>
      </w:pPr>
      <w:r>
        <w:rPr>
          <w:rFonts w:ascii="Arial" w:cs="Arial" w:eastAsia="Arial" w:hAnsi="Arial"/>
          <w:b/>
          <w:bCs/>
          <w:color w:val="1F3A56"/>
          <w:sz w:val="28"/>
          <w:szCs w:val="28"/>
        </w:rPr>
        <w:t xml:space="preserve">8. Evidence Owners Should Prepare</w:t>
      </w:r>
    </w:p>
    <w:p>
      <w:pPr>
        <w:spacing w:after="100" w:line="276"/>
      </w:pPr>
      <w:r>
        <w:rPr>
          <w:rFonts w:ascii="Arial" w:cs="Arial" w:eastAsia="Arial" w:hAnsi="Arial"/>
          <w:sz w:val="20"/>
          <w:szCs w:val="20"/>
        </w:rPr>
        <w:t xml:space="preserve">The assistant helps owners prepare evidence, without promising any outcome. The evidence below is needed for an advisor to complete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Concern Type</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Evidence the Owner Should Bring</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Any warranty concern</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Proof of purchase showing in-service date; current odometer reading; description of when and how the concern occurs; photographs of warning indications where possible.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transmission or drive concern</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invoices for required maintenance; details of any fluid top-ups or fuel issues; disclosure of any prior repairs or modifications.</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Electrical or infotainment concern</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Description of fault behaviour; disclosure of any accessories or wiring changes.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 battery concern</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Charging history details if available; battery-capacity or range observations; service records including EV Annual; disclosure of any external charging equipment issues.</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Replacement-part concern</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Original invoice from the approved workshop showing the part, date and odometer reading.</w:t>
            </w:r>
          </w:p>
        </w:tc>
      </w:tr>
    </w:tbl>
    <w:p>
      <w:pPr>
        <w:spacing w:after="100"/>
      </w:pPr>
    </w:p>
    <w:p>
      <w:pPr>
        <w:pStyle w:val="Heading1"/>
        <w:keepNext/>
        <w:spacing w:after="120" w:before="280"/>
      </w:pPr>
      <w:r>
        <w:rPr>
          <w:rFonts w:ascii="Arial" w:cs="Arial" w:eastAsia="Arial" w:hAnsi="Arial"/>
          <w:b/>
          <w:bCs/>
          <w:color w:val="1F3A56"/>
          <w:sz w:val="28"/>
          <w:szCs w:val="28"/>
        </w:rPr>
        <w:t xml:space="preserve">9. Warranty Pre-Check Logic</w:t>
      </w:r>
    </w:p>
    <w:p>
      <w:pPr>
        <w:pStyle w:val="Heading2"/>
        <w:keepNext/>
        <w:spacing w:after="80" w:before="200"/>
      </w:pPr>
      <w:r>
        <w:rPr>
          <w:rFonts w:ascii="Arial" w:cs="Arial" w:eastAsia="Arial" w:hAnsi="Arial"/>
          <w:b/>
          <w:bCs/>
          <w:color w:val="1F4E79"/>
          <w:sz w:val="23"/>
          <w:szCs w:val="23"/>
        </w:rPr>
        <w:t xml:space="preserve">9.1 The Four Permitted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Result</w:t>
            </w:r>
          </w:p>
        </w:tc>
        <w:tc>
          <w:tcPr>
            <w:tcW w:type="dxa" w:w="4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Use When</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 Indicator</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covered</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vehicle is within the term and distance limits, the component is on the relevant list, no exclusion indicator is present and required maintenance evidence is available.</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Infotainment display fails at 2 years and 40,000 km with no accident history.</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excluded</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concern clearly falls under a listed exclusion, or the vehicle is outside every applicable limit, with no indication of a separate defect.</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Worn wiper blades; flood damage; vehicle outside all limits.</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insufficient evidence</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Key facts needed to evaluate the concern are missing, such as in-service date, odometer reading or maintenance records.</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does not know the mileage or purchase date.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concern depends on interpretation, causal assessment, specialist diagnosis or an item not listed in the policy.</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fault with an aftermarket tuning device fitted; commercial-use question; unlisted component.</w:t>
            </w:r>
          </w:p>
        </w:tc>
      </w:tr>
    </w:tbl>
    <w:p>
      <w:pPr>
        <w:spacing w:after="100"/>
      </w:pPr>
    </w:p>
    <w:p>
      <w:pPr>
        <w:pStyle w:val="Heading2"/>
        <w:keepNext/>
        <w:spacing w:after="80" w:before="200"/>
      </w:pPr>
      <w:r>
        <w:rPr>
          <w:rFonts w:ascii="Arial" w:cs="Arial" w:eastAsia="Arial" w:hAnsi="Arial"/>
          <w:b/>
          <w:bCs/>
          <w:color w:val="1F4E79"/>
          <w:sz w:val="23"/>
          <w:szCs w:val="23"/>
        </w:rPr>
        <w:t xml:space="preserve">9.2 Required Elements of a Pre-Check Response</w:t>
      </w:r>
    </w:p>
    <w:p>
      <w:pPr>
        <w:pStyle w:val="ListParagraph"/>
        <w:numPr>
          <w:ilvl w:val="0"/>
          <w:numId w:val="2"/>
        </w:numPr>
        <w:spacing w:after="60" w:line="264"/>
      </w:pPr>
      <w:r>
        <w:rPr>
          <w:rFonts w:ascii="Arial" w:cs="Arial" w:eastAsia="Arial" w:hAnsi="Arial"/>
          <w:sz w:val="20"/>
          <w:szCs w:val="20"/>
        </w:rPr>
        <w:t xml:space="preserve">The result, using only one of the four permitted terms.</w:t>
      </w:r>
    </w:p>
    <w:p>
      <w:pPr>
        <w:pStyle w:val="ListParagraph"/>
        <w:numPr>
          <w:ilvl w:val="0"/>
          <w:numId w:val="2"/>
        </w:numPr>
        <w:spacing w:after="60" w:line="264"/>
      </w:pPr>
      <w:r>
        <w:rPr>
          <w:rFonts w:ascii="Arial" w:cs="Arial" w:eastAsia="Arial" w:hAnsi="Arial"/>
          <w:sz w:val="20"/>
          <w:szCs w:val="20"/>
        </w:rPr>
        <w:t xml:space="preserve">A plain-language reason that cites the document code, version and section, for example KB-AUTO-003 v1.0, Section 4.</w:t>
      </w:r>
    </w:p>
    <w:p>
      <w:pPr>
        <w:pStyle w:val="ListParagraph"/>
        <w:numPr>
          <w:ilvl w:val="0"/>
          <w:numId w:val="2"/>
        </w:numPr>
        <w:spacing w:after="60" w:line="264"/>
      </w:pPr>
      <w:r>
        <w:rPr>
          <w:rFonts w:ascii="Arial" w:cs="Arial" w:eastAsia="Arial" w:hAnsi="Arial"/>
          <w:sz w:val="20"/>
          <w:szCs w:val="20"/>
        </w:rPr>
        <w:t xml:space="preserve">The evidence that is still needed, if any.</w:t>
      </w:r>
    </w:p>
    <w:p>
      <w:pPr>
        <w:pStyle w:val="ListParagraph"/>
        <w:numPr>
          <w:ilvl w:val="0"/>
          <w:numId w:val="2"/>
        </w:numPr>
        <w:spacing w:after="60" w:line="264"/>
      </w:pPr>
      <w:r>
        <w:rPr>
          <w:rFonts w:ascii="Arial" w:cs="Arial" w:eastAsia="Arial" w:hAnsi="Arial"/>
          <w:sz w:val="20"/>
          <w:szCs w:val="20"/>
        </w:rPr>
        <w:t xml:space="preserve">A next step, such as booking a workshop inspection with an authorized service advisor.</w:t>
      </w:r>
    </w:p>
    <w:p>
      <w:pPr>
        <w:pStyle w:val="ListParagraph"/>
        <w:numPr>
          <w:ilvl w:val="0"/>
          <w:numId w:val="2"/>
        </w:numPr>
        <w:spacing w:after="60" w:line="264"/>
      </w:pPr>
      <w:r>
        <w:rPr>
          <w:rFonts w:ascii="Arial" w:cs="Arial" w:eastAsia="Arial" w:hAnsi="Arial"/>
          <w:sz w:val="20"/>
          <w:szCs w:val="20"/>
        </w:rPr>
        <w:t xml:space="preserve">The standard disclaimer in Section 10.</w:t>
      </w:r>
    </w:p>
    <w:p>
      <w:pPr>
        <w:pStyle w:val="Heading2"/>
        <w:keepNext/>
        <w:spacing w:after="80" w:before="200"/>
      </w:pPr>
      <w:r>
        <w:rPr>
          <w:rFonts w:ascii="Arial" w:cs="Arial" w:eastAsia="Arial" w:hAnsi="Arial"/>
          <w:b/>
          <w:bCs/>
          <w:color w:val="1F4E79"/>
          <w:sz w:val="23"/>
          <w:szCs w:val="23"/>
        </w:rPr>
        <w:t xml:space="preserve">9.3 Order of Evaluation</w:t>
      </w:r>
    </w:p>
    <w:p>
      <w:pPr>
        <w:spacing w:after="100" w:line="276"/>
      </w:pPr>
      <w:r>
        <w:rPr>
          <w:rFonts w:ascii="Arial" w:cs="Arial" w:eastAsia="Arial" w:hAnsi="Arial"/>
          <w:sz w:val="20"/>
          <w:szCs w:val="20"/>
        </w:rPr>
        <w:t xml:space="preserve">The assistant evaluates in this order: (1) confirm vehicle family and usage; (2) confirm in-service date and odometer; (3) identify the concern and map it to a coverage and component list; (4) check exclusions; (5) check maintenance evidence where relevant; (6) choose the result. If step 1 or 2 cannot be completed, the result is </w:t>
      </w:r>
      <w:r>
        <w:rPr>
          <w:rFonts w:ascii="Arial" w:cs="Arial" w:eastAsia="Arial" w:hAnsi="Arial"/>
          <w:b/>
          <w:bCs/>
          <w:sz w:val="20"/>
          <w:szCs w:val="20"/>
        </w:rPr>
        <w:t xml:space="preserve">insufficient evidence</w:t>
      </w:r>
      <w:r>
        <w:rPr>
          <w:rFonts w:ascii="Arial" w:cs="Arial" w:eastAsia="Arial" w:hAnsi="Arial"/>
          <w:sz w:val="20"/>
          <w:szCs w:val="20"/>
        </w:rPr>
        <w:t xml:space="preserve"> and the assistant asks for the missing facts. If a step requires a causal judgement, the result is </w:t>
      </w:r>
      <w:r>
        <w:rPr>
          <w:rFonts w:ascii="Arial" w:cs="Arial" w:eastAsia="Arial" w:hAnsi="Arial"/>
          <w:b/>
          <w:bCs/>
          <w:sz w:val="20"/>
          <w:szCs w:val="20"/>
        </w:rPr>
        <w:t xml:space="preserve">advisor review required</w:t>
      </w:r>
      <w:r>
        <w:rPr>
          <w:rFonts w:ascii="Arial" w:cs="Arial" w:eastAsia="Arial" w:hAnsi="Arial"/>
          <w:sz w:val="20"/>
          <w:szCs w:val="20"/>
        </w:rPr>
        <w:t xml:space="preserve">.</w:t>
      </w:r>
    </w:p>
    <w:p>
      <w:pPr>
        <w:pStyle w:val="Heading1"/>
        <w:keepNext/>
        <w:spacing w:after="120" w:before="280"/>
      </w:pPr>
      <w:r>
        <w:rPr>
          <w:rFonts w:ascii="Arial" w:cs="Arial" w:eastAsia="Arial" w:hAnsi="Arial"/>
          <w:b/>
          <w:bCs/>
          <w:color w:val="1F3A56"/>
          <w:sz w:val="28"/>
          <w:szCs w:val="28"/>
        </w:rPr>
        <w:t xml:space="preserve">10. Language Rules for Warranty Answers</w:t>
      </w:r>
    </w:p>
    <w:p>
      <w:pPr>
        <w:pStyle w:val="Heading2"/>
        <w:keepNext/>
        <w:spacing w:after="80" w:before="200"/>
      </w:pPr>
      <w:r>
        <w:rPr>
          <w:rFonts w:ascii="Arial" w:cs="Arial" w:eastAsia="Arial" w:hAnsi="Arial"/>
          <w:b/>
          <w:bCs/>
          <w:color w:val="1F4E79"/>
          <w:sz w:val="23"/>
          <w:szCs w:val="23"/>
        </w:rPr>
        <w:t xml:space="preserve">10.1 Mandatory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This is a preliminary pre-check based on the sample warranty policy (KB-AUTO-003 v1.0). It is not a claim approval. An authorized service advisor will make the final decision after inspection and evidence review.</w:t>
            </w:r>
          </w:p>
        </w:tc>
      </w:tr>
    </w:tbl>
    <w:p>
      <w:pPr>
        <w:spacing w:after="100"/>
      </w:pPr>
    </w:p>
    <w:p>
      <w:pPr>
        <w:pStyle w:val="Heading2"/>
        <w:keepNext/>
        <w:spacing w:after="80" w:before="200"/>
      </w:pPr>
      <w:r>
        <w:rPr>
          <w:rFonts w:ascii="Arial" w:cs="Arial" w:eastAsia="Arial" w:hAnsi="Arial"/>
          <w:b/>
          <w:bCs/>
          <w:color w:val="1F4E79"/>
          <w:sz w:val="23"/>
          <w:szCs w:val="23"/>
        </w:rPr>
        <w:t xml:space="preserve">10.2 Allowed and Prohibited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Allowed Wording</w:t>
            </w:r>
          </w:p>
        </w:tc>
        <w:tc>
          <w:tcPr>
            <w:tcW w:type="dxa" w:w="46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Prohibited Wording</w:t>
            </w:r>
          </w:p>
        </w:tc>
      </w:tr>
      <w:tr>
        <w:trPr>
          <w:cantSplit/>
        </w:trPr>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covered, subject to advisor review</w:t>
            </w:r>
          </w:p>
        </w:tc>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Approved; your claim is accepted</w:t>
            </w:r>
          </w:p>
        </w:tc>
      </w:tr>
      <w:tr>
        <w:trPr>
          <w:cantSplit/>
        </w:trP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excluded because the item is a wear item</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Rejected; your claim will not be paid</w:t>
            </w:r>
          </w:p>
        </w:tc>
      </w:tr>
      <w:tr>
        <w:trPr>
          <w:cantSplit/>
        </w:trPr>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More evidence is needed before this can be assessed</w:t>
            </w:r>
          </w:p>
        </w:tc>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You will definitely get a free repair</w:t>
            </w:r>
          </w:p>
        </w:tc>
      </w:tr>
      <w:tr>
        <w:trPr>
          <w:cantSplit/>
        </w:trP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 authorized service advisor will decide</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warranty is void</w:t>
            </w:r>
          </w:p>
        </w:tc>
      </w:tr>
      <w:tr>
        <w:trPr>
          <w:cantSplit/>
        </w:trPr>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This falls under the sample exclusion for …</w:t>
            </w:r>
          </w:p>
        </w:tc>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Guaranteed coverage or reimbursement amounts</w:t>
            </w:r>
          </w:p>
        </w:tc>
      </w:tr>
    </w:tbl>
    <w:p>
      <w:pPr>
        <w:spacing w:after="100"/>
      </w:pPr>
    </w:p>
    <w:p>
      <w:pPr>
        <w:pStyle w:val="Heading1"/>
        <w:keepNext/>
        <w:spacing w:after="120" w:before="280"/>
      </w:pPr>
      <w:r>
        <w:rPr>
          <w:rFonts w:ascii="Arial" w:cs="Arial" w:eastAsia="Arial" w:hAnsi="Arial"/>
          <w:b/>
          <w:bCs/>
          <w:color w:val="1F3A56"/>
          <w:sz w:val="28"/>
          <w:szCs w:val="28"/>
        </w:rPr>
        <w:t xml:space="preserve">11. Worked Pre-Check Examples</w:t>
      </w:r>
    </w:p>
    <w:p>
      <w:pPr>
        <w:spacing w:after="100" w:line="276"/>
      </w:pPr>
      <w:r>
        <w:rPr>
          <w:rFonts w:ascii="Arial" w:cs="Arial" w:eastAsia="Arial" w:hAnsi="Arial"/>
          <w:sz w:val="20"/>
          <w:szCs w:val="20"/>
        </w:rPr>
        <w:t xml:space="preserve">The examples below show how the assistant should reason and respond. They are for guidance and testing only and do not represent claim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Scenario</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Pre-Check Result</w:t>
            </w:r>
          </w:p>
        </w:tc>
        <w:tc>
          <w:tcPr>
            <w:tcW w:type="dxa" w:w="4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Reasoning (cited section)</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MetroSedan P (AC-SD-P), 2 years, 40,000 km. Infotainment screen goes black. No accident. Service history available.</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covered</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Base Vehicle covers electrical parts; the head unit is a listed component; within limits; no exclusion indicator (Sections 2, 3 and 6).</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CityHatch P (AC-HB-P), 18,000 km. Owner asks whether worn brake pads are covered.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excluded</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 pads are wear items under Section 4 unless a separate defect is established.</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TrailSUV D (AC-SV-D), 4 years, 85,000 km. Engine knocking noise. All services on time with invoices.</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is a listed powertrain component within 5 yr / 120,000 km, but diagnosis and causal assessment must be done by an advisor (Sections 3 and 9).</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EonEV (AC-EV-1), 5 years, 90,000 km. Battery capacity reading 68%.</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Below the 70% sample threshold, but capacity must be confirmed by diagnosis; the dashboard reading alone is not confirmation (Sections 2 and 7.3).</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TrailSUV P (AC-SV-P), 2 years. Vehicle was in a flood. Engine will not start.</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excluded</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Flood damage is under Accident or external damage in Section 4.</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MetroSedan P (AC-SD-P), 3 years. Engine fault. Owner fitted an aftermarket tuning device.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Unauthorized modification is an exclusion only where causally relevant; the advisor must document this (Section 4).</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does not know the purchase date or mileage and asks if a failed part is covered.</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insufficient evidence</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In-service date and odometer reading are required before any limit can be evaluated (Section 9.3).</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CityHatch P (AC-HB-P). Alternator replaced by an approved workshop 8 months ago, 12,000 km ago; now failing; invoice available.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potentially covered</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Replacement Part coverage is 12 months or 20,000 km and requires the approved-workshop invoice (Sections 2 and 8).</w:t>
            </w:r>
          </w:p>
        </w:tc>
      </w:tr>
      <w:tr>
        <w:trPr>
          <w:cantSplit/>
        </w:trPr>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TrailSUV D (AC-SV-D) used as a goods carrier outside its supported duty class. Gearbox fault.</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Commercial misuse is an exclusion; the duty class determination belongs to the advisor (Section 4).</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about a component not on any list, such as an aftermarket roof rack.</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review required</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component is not a listed factory-installed part; only an advisor can confirm (Section 6).</w:t>
            </w:r>
          </w:p>
        </w:tc>
      </w:tr>
    </w:tbl>
    <w:p>
      <w:pPr>
        <w:spacing w:after="100"/>
      </w:pPr>
    </w:p>
    <w:p>
      <w:pPr>
        <w:pStyle w:val="Heading1"/>
        <w:keepNext/>
        <w:spacing w:after="120" w:before="280"/>
      </w:pPr>
      <w:r>
        <w:rPr>
          <w:rFonts w:ascii="Arial" w:cs="Arial" w:eastAsia="Arial" w:hAnsi="Arial"/>
          <w:b/>
          <w:bCs/>
          <w:color w:val="1F3A56"/>
          <w:sz w:val="28"/>
          <w:szCs w:val="28"/>
        </w:rPr>
        <w:t xml:space="preserve">12. Handling Related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Question</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Required Behaviour</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Will the warranty be void because I skipped a service?</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declare the warranty void. Explain that missed maintenance may be an exclusion only where causally relevant and that an advisor will review it; refer to KB-AUTO-002 for the service schedule.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Can you approve my claim now?</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AutoCare AI gives only a preliminary pre-check and cannot approve a claim. Offer to give a pre-check result.</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How long will the claim take and will it be paid?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promise a timeline or payment. Refer to the claim status and advisor updates in KB-AUTO-006.</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disagree with a warranty decision.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dispute route in KB-AUTO-008 and the need to quote the claim reference and the documented reason.</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Does the warranty cover tyres?</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 wear is a wear item; a separate defect would require advisor review. Do not state a final answer.</w:t>
            </w:r>
          </w:p>
        </w:tc>
      </w:tr>
    </w:tbl>
    <w:p>
      <w:pPr>
        <w:spacing w:after="100"/>
      </w:pPr>
    </w:p>
    <w:p>
      <w:pPr>
        <w:pStyle w:val="Heading1"/>
        <w:keepNext/>
        <w:spacing w:after="120" w:before="280"/>
      </w:pPr>
      <w:r>
        <w:rPr>
          <w:rFonts w:ascii="Arial" w:cs="Arial" w:eastAsia="Arial" w:hAnsi="Arial"/>
          <w:b/>
          <w:bCs/>
          <w:color w:val="1F3A56"/>
          <w:sz w:val="28"/>
          <w:szCs w:val="28"/>
        </w:rPr>
        <w:t xml:space="preserve">13.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base warranty?</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years or 100,000 km, whichever occurs first, for covered factory-installed mechanical and electrical parts (Section 2).</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is the powertrain warranty?</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5 years or 120,000 km, whichever occurs first, for the listed engine, transmission and final-drive components.</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EV battery warranty?</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8 years or 160,000 km, whichever occurs first, for a defect or capacity below 70%, subject to diagnostic confirmation.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Are tyres, wipers and bulbs covered?</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They are wear or maintenance items and are normally excluded unless a separate defect is established.</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does “whichever occurs first” mean?</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Coverage ends when either the time limit or the distance limit is reached, whichever happens earlier.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I need my service records?</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 where the concern could be affected by maintenance. Keep invoices and bring them with proof of purchase.</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Is the AI’s answer final?</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It is a preliminary pre-check. Final decisions are made by authorized service personnel.</w:t>
            </w:r>
          </w:p>
        </w:tc>
      </w:tr>
    </w:tbl>
    <w:p>
      <w:pPr>
        <w:spacing w:after="100"/>
      </w:pPr>
    </w:p>
    <w:p>
      <w:pPr>
        <w:pStyle w:val="Heading1"/>
        <w:keepNext/>
        <w:spacing w:after="120" w:before="280"/>
      </w:pPr>
      <w:r>
        <w:rPr>
          <w:rFonts w:ascii="Arial" w:cs="Arial" w:eastAsia="Arial" w:hAnsi="Arial"/>
          <w:b/>
          <w:bCs/>
          <w:color w:val="1F3A56"/>
          <w:sz w:val="28"/>
          <w:szCs w:val="28"/>
        </w:rPr>
        <w:t xml:space="preserve">14.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Is my EV battery covered if capacity is 68%?</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Sections 2, 7.3 and 11</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70% sample threshold and diagnostic confirmation; return advisor review required; add disclaimer.</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Are brake pads covered?</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 4</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Return potentially excluded as a wear item unless a separate defect is established.</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warranty period for the engine?</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Sections 2 and 6</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the powertrain term and the listed engine components.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Please approve my claim.</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 5</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Decline to approve; offer a preliminary pre-check and explain advisor decision.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Is my warranty void because I changed oil late?</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Sections 4 and 12</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say void; explain causal relevance and advisor review.</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Part replaced 8 months ago is failing. Covered?</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Sections 2 and 8</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Replacement Part coverage and need for the approved-workshop invoice; return potentially covered with disclaimer.</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KB-AUTO-003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Warranty Coverage, Eligibility &amp; Exclusions  |  KB-AUTO-003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KB-AUTO-003 Warranty Coverage, Eligibility &amp; Exclusions</dc:title>
  <dc:creator>AutoCare AI Knowledge Governance Team</dc:creator>
  <cp:lastModifiedBy>Un-named</cp:lastModifiedBy>
  <cp:revision>1</cp:revision>
  <dcterms:created xsi:type="dcterms:W3CDTF">2026-10-14T10:32:43.894Z</dcterms:created>
  <dcterms:modified xsi:type="dcterms:W3CDTF">2026-10-14T10:32:43.894Z</dcterms:modified>
</cp:coreProperties>
</file>

<file path=docProps/custom.xml><?xml version="1.0" encoding="utf-8"?>
<Properties xmlns="http://schemas.openxmlformats.org/officeDocument/2006/custom-properties" xmlns:vt="http://schemas.openxmlformats.org/officeDocument/2006/docPropsVTypes"/>
</file>