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Service Advisor Operations, Inspection &amp; SLA</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KB-AUTO-007</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Advisor Operations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Service Advisor Only</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doc_type=advisor_operations, audience=advisor,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advisor-only document defines fictional intake, inspection, warranty evidence, quality and SLA practices for the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Mandatory Intake Checklist</w:t>
      </w:r>
    </w:p>
    <w:p>
      <w:pPr>
        <w:pStyle w:val="ListParagraph"/>
        <w:numPr>
          <w:ilvl w:val="0"/>
          <w:numId w:val="2"/>
        </w:numPr>
        <w:spacing w:after="60" w:line="264"/>
      </w:pPr>
      <w:r>
        <w:rPr>
          <w:rFonts w:ascii="Arial" w:cs="Arial" w:eastAsia="Arial" w:hAnsi="Arial"/>
          <w:sz w:val="20"/>
          <w:szCs w:val="20"/>
        </w:rPr>
        <w:t xml:space="preserve">Confirm vehicle family, odometer and selected usage category.</w:t>
      </w:r>
    </w:p>
    <w:p>
      <w:pPr>
        <w:pStyle w:val="ListParagraph"/>
        <w:numPr>
          <w:ilvl w:val="0"/>
          <w:numId w:val="2"/>
        </w:numPr>
        <w:spacing w:after="60" w:line="264"/>
      </w:pPr>
      <w:r>
        <w:rPr>
          <w:rFonts w:ascii="Arial" w:cs="Arial" w:eastAsia="Arial" w:hAnsi="Arial"/>
          <w:sz w:val="20"/>
          <w:szCs w:val="20"/>
        </w:rPr>
        <w:t xml:space="preserve">Record owner concerns in the owner’s own words.</w:t>
      </w:r>
    </w:p>
    <w:p>
      <w:pPr>
        <w:pStyle w:val="ListParagraph"/>
        <w:numPr>
          <w:ilvl w:val="0"/>
          <w:numId w:val="2"/>
        </w:numPr>
        <w:spacing w:after="60" w:line="264"/>
      </w:pPr>
      <w:r>
        <w:rPr>
          <w:rFonts w:ascii="Arial" w:cs="Arial" w:eastAsia="Arial" w:hAnsi="Arial"/>
          <w:sz w:val="20"/>
          <w:szCs w:val="20"/>
        </w:rPr>
        <w:t xml:space="preserve">Capture visible warning indicators without interpreting them before inspection.</w:t>
      </w:r>
    </w:p>
    <w:p>
      <w:pPr>
        <w:pStyle w:val="ListParagraph"/>
        <w:numPr>
          <w:ilvl w:val="0"/>
          <w:numId w:val="2"/>
        </w:numPr>
        <w:spacing w:after="60" w:line="264"/>
      </w:pPr>
      <w:r>
        <w:rPr>
          <w:rFonts w:ascii="Arial" w:cs="Arial" w:eastAsia="Arial" w:hAnsi="Arial"/>
          <w:sz w:val="20"/>
          <w:szCs w:val="20"/>
        </w:rPr>
        <w:t xml:space="preserve">Record prior repair or modification disclosures.</w:t>
      </w:r>
    </w:p>
    <w:p>
      <w:pPr>
        <w:pStyle w:val="ListParagraph"/>
        <w:numPr>
          <w:ilvl w:val="0"/>
          <w:numId w:val="2"/>
        </w:numPr>
        <w:spacing w:after="60" w:line="264"/>
      </w:pPr>
      <w:r>
        <w:rPr>
          <w:rFonts w:ascii="Arial" w:cs="Arial" w:eastAsia="Arial" w:hAnsi="Arial"/>
          <w:sz w:val="20"/>
          <w:szCs w:val="20"/>
        </w:rPr>
        <w:t xml:space="preserve">Generate a job-card reference and link all evidence to it.</w:t>
      </w:r>
    </w:p>
    <w:p>
      <w:pPr>
        <w:pStyle w:val="Heading1"/>
        <w:keepNext/>
        <w:spacing w:after="120" w:before="280"/>
      </w:pPr>
      <w:r>
        <w:rPr>
          <w:rFonts w:ascii="Arial" w:cs="Arial" w:eastAsia="Arial" w:hAnsi="Arial"/>
          <w:b/>
          <w:bCs/>
          <w:color w:val="1F3A56"/>
          <w:sz w:val="28"/>
          <w:szCs w:val="28"/>
        </w:rPr>
        <w:t xml:space="preserve">3. Warranty Evidence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Evidence</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Requirement</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and ownership reference</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Match the vehicle record and owner authorization.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Mileage and in-service date</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both for limit evaluation.</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Maintenance evidence</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Attach relevant service history.</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Diagnostic evidence</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Store codes, measurements, images or technician notes as applicable.</w:t>
            </w:r>
          </w:p>
        </w:tc>
      </w:tr>
      <w:tr>
        <w:trPr>
          <w:cantSplit/>
        </w:trPr>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Causal assessment</w:t>
            </w:r>
          </w:p>
        </w:tc>
        <w:tc>
          <w:tcPr>
            <w:tcW w:type="dxa" w:w="6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why the concern appears covered, excluded or needs specialist review.</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Decision record</w:t>
            </w:r>
          </w:p>
        </w:tc>
        <w:tc>
          <w:tcPr>
            <w:tcW w:type="dxa" w:w="6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Final decision must identify approver and cited policy section.</w:t>
            </w:r>
          </w:p>
        </w:tc>
      </w:tr>
    </w:tbl>
    <w:p>
      <w:pPr>
        <w:spacing w:after="100"/>
      </w:pPr>
    </w:p>
    <w:p>
      <w:pPr>
        <w:pStyle w:val="Heading1"/>
        <w:keepNext/>
        <w:spacing w:after="120" w:before="280"/>
      </w:pPr>
      <w:r>
        <w:rPr>
          <w:rFonts w:ascii="Arial" w:cs="Arial" w:eastAsia="Arial" w:hAnsi="Arial"/>
          <w:b/>
          <w:bCs/>
          <w:color w:val="1F3A56"/>
          <w:sz w:val="28"/>
          <w:szCs w:val="28"/>
        </w:rPr>
        <w:t xml:space="preserve">4. Sample Operational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000"/>
        <w:gridCol w:w="2660"/>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Activity</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Target</w:t>
            </w:r>
          </w:p>
        </w:tc>
        <w:tc>
          <w:tcPr>
            <w:tcW w:type="dxa" w:w="2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Escalation</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Initial intake after check-in</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Within 30 minutes</w:t>
            </w:r>
          </w:p>
        </w:tc>
        <w:tc>
          <w:tcPr>
            <w:tcW w:type="dxa" w:w="2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Workshop coordinator</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Initial inspection update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Within 4 business hours</w:t>
            </w:r>
          </w:p>
        </w:tc>
        <w:tc>
          <w:tcPr>
            <w:tcW w:type="dxa" w:w="2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Service-advisor lead</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Warranty evidence completeness review</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Within 1 business day</w:t>
            </w:r>
          </w:p>
        </w:tc>
        <w:tc>
          <w:tcPr>
            <w:tcW w:type="dxa" w:w="2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Warranty coordinator</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Technical review</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Within 3 business days after complete evidence</w:t>
            </w:r>
          </w:p>
        </w:tc>
        <w:tc>
          <w:tcPr>
            <w:tcW w:type="dxa" w:w="2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Technical specialist</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Complaint acknowledgement</w:t>
            </w:r>
          </w:p>
        </w:tc>
        <w:tc>
          <w:tcPr>
            <w:tcW w:type="dxa" w:w="3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Within 1 business day</w:t>
            </w:r>
          </w:p>
        </w:tc>
        <w:tc>
          <w:tcPr>
            <w:tcW w:type="dxa" w:w="2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Customer-care lead</w:t>
            </w:r>
          </w:p>
        </w:tc>
      </w:tr>
    </w:tbl>
    <w:p>
      <w:pPr>
        <w:spacing w:after="100"/>
      </w:pPr>
    </w:p>
    <w:p>
      <w:pPr>
        <w:pStyle w:val="Heading1"/>
        <w:keepNext/>
        <w:spacing w:after="120" w:before="280"/>
      </w:pPr>
      <w:r>
        <w:rPr>
          <w:rFonts w:ascii="Arial" w:cs="Arial" w:eastAsia="Arial" w:hAnsi="Arial"/>
          <w:b/>
          <w:bCs/>
          <w:color w:val="1F3A56"/>
          <w:sz w:val="28"/>
          <w:szCs w:val="28"/>
        </w:rPr>
        <w:t xml:space="preserve">5. Quality and Handover</w:t>
      </w:r>
    </w:p>
    <w:p>
      <w:pPr>
        <w:pStyle w:val="ListParagraph"/>
        <w:numPr>
          <w:ilvl w:val="0"/>
          <w:numId w:val="2"/>
        </w:numPr>
        <w:spacing w:after="60" w:line="264"/>
      </w:pPr>
      <w:r>
        <w:rPr>
          <w:rFonts w:ascii="Arial" w:cs="Arial" w:eastAsia="Arial" w:hAnsi="Arial"/>
          <w:sz w:val="20"/>
          <w:szCs w:val="20"/>
        </w:rPr>
        <w:t xml:space="preserve">Confirm all authorized work is recorded.</w:t>
      </w:r>
    </w:p>
    <w:p>
      <w:pPr>
        <w:pStyle w:val="ListParagraph"/>
        <w:numPr>
          <w:ilvl w:val="0"/>
          <w:numId w:val="2"/>
        </w:numPr>
        <w:spacing w:after="60" w:line="264"/>
      </w:pPr>
      <w:r>
        <w:rPr>
          <w:rFonts w:ascii="Arial" w:cs="Arial" w:eastAsia="Arial" w:hAnsi="Arial"/>
          <w:sz w:val="20"/>
          <w:szCs w:val="20"/>
        </w:rPr>
        <w:t xml:space="preserve">Confirm safety-critical items are closed or explicitly deferred with acknowledgement.</w:t>
      </w:r>
    </w:p>
    <w:p>
      <w:pPr>
        <w:pStyle w:val="ListParagraph"/>
        <w:numPr>
          <w:ilvl w:val="0"/>
          <w:numId w:val="2"/>
        </w:numPr>
        <w:spacing w:after="60" w:line="264"/>
      </w:pPr>
      <w:r>
        <w:rPr>
          <w:rFonts w:ascii="Arial" w:cs="Arial" w:eastAsia="Arial" w:hAnsi="Arial"/>
          <w:sz w:val="20"/>
          <w:szCs w:val="20"/>
        </w:rPr>
        <w:t xml:space="preserve">Explain replaced parts, recommendations and next service trigger.</w:t>
      </w:r>
    </w:p>
    <w:p>
      <w:pPr>
        <w:pStyle w:val="ListParagraph"/>
        <w:numPr>
          <w:ilvl w:val="0"/>
          <w:numId w:val="2"/>
        </w:numPr>
        <w:spacing w:after="60" w:line="264"/>
      </w:pPr>
      <w:r>
        <w:rPr>
          <w:rFonts w:ascii="Arial" w:cs="Arial" w:eastAsia="Arial" w:hAnsi="Arial"/>
          <w:sz w:val="20"/>
          <w:szCs w:val="20"/>
        </w:rPr>
        <w:t xml:space="preserve">Do not promise reimbursement, coverage or completion dates outside the authorized system.</w:t>
      </w:r>
    </w:p>
    <w:p>
      <w:pPr>
        <w:pStyle w:val="Heading1"/>
        <w:keepNext/>
        <w:spacing w:after="120" w:before="280"/>
      </w:pPr>
      <w:r>
        <w:rPr>
          <w:rFonts w:ascii="Arial" w:cs="Arial" w:eastAsia="Arial" w:hAnsi="Arial"/>
          <w:b/>
          <w:bCs/>
          <w:color w:val="1F3A56"/>
          <w:sz w:val="28"/>
          <w:szCs w:val="28"/>
        </w:rPr>
        <w:t xml:space="preserve">6. Intake Procedure in Detail</w:t>
      </w:r>
    </w:p>
    <w:p>
      <w:pPr>
        <w:spacing w:after="100" w:line="276"/>
      </w:pPr>
      <w:r>
        <w:rPr>
          <w:rFonts w:ascii="Arial" w:cs="Arial" w:eastAsia="Arial" w:hAnsi="Arial"/>
          <w:sz w:val="20"/>
          <w:szCs w:val="20"/>
        </w:rPr>
        <w:t xml:space="preserve">The checklist in Section 2 is performed at check-in and completed within the intake SLA in Section 4. The table below expands each item with what the advisor records and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Intake Item</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to Record</w:t>
            </w:r>
          </w:p>
        </w:tc>
        <w:tc>
          <w:tcPr>
            <w:tcW w:type="dxa" w:w="3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Common Mistakes to Avoid</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family, odometer and usage category</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supported family code (for example AC-SV-D), the odometer reading shown at check-in and the usage category agreed with the owner (Normal, Severe or High-Usage EV).</w:t>
            </w:r>
          </w:p>
        </w:tc>
        <w:tc>
          <w:tcPr>
            <w:tcW w:type="dxa" w:w="3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Accepting an odometer figure from memory; assigning the category without asking about trip length, idling, road type or towing.</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concerns</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concern in the owner’s own words, including when it occurs, how often and any conditions mentioned.</w:t>
            </w:r>
          </w:p>
        </w:tc>
        <w:tc>
          <w:tcPr>
            <w:tcW w:type="dxa" w:w="3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Rewriting the concern in technical terms; adding a suspected cause.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Visible warning indicators</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Which indicators are lit, their colour and symbol, and a photo where possible.</w:t>
            </w:r>
          </w:p>
        </w:tc>
        <w:tc>
          <w:tcPr>
            <w:tcW w:type="dxa" w:w="3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Interpreting or naming the cause of an indicator before inspection.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Prior repair or modification disclosures</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Any earlier repairs, accessories, tuning or software changes the owner discloses, and by whom they were done.</w:t>
            </w:r>
          </w:p>
        </w:tc>
        <w:tc>
          <w:tcPr>
            <w:tcW w:type="dxa" w:w="3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Skipping this question because the vehicle looks standard; omitting a disclosure that may matter for exclusions.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Fuel or charge level and existing condition</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Fuel level or state of charge, and visible marks recorded in the walk-around.</w:t>
            </w:r>
          </w:p>
        </w:tc>
        <w:tc>
          <w:tcPr>
            <w:tcW w:type="dxa" w:w="3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 recording existing damage before work starts.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Job-card reference</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unique reference to which every piece of evidence is linked.</w:t>
            </w:r>
          </w:p>
        </w:tc>
        <w:tc>
          <w:tcPr>
            <w:tcW w:type="dxa" w:w="3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Attaching evidence to the owner or vehicle record without the job-card reference.</w:t>
            </w:r>
          </w:p>
        </w:tc>
      </w:tr>
    </w:tbl>
    <w:p>
      <w:pPr>
        <w:spacing w:after="100"/>
      </w:pPr>
    </w:p>
    <w:p>
      <w:pPr>
        <w:spacing w:after="100" w:line="276"/>
      </w:pPr>
      <w:r>
        <w:rPr>
          <w:rFonts w:ascii="Arial" w:cs="Arial" w:eastAsia="Arial" w:hAnsi="Arial"/>
          <w:b/>
          <w:bCs/>
          <w:sz w:val="20"/>
          <w:szCs w:val="20"/>
        </w:rPr>
        <w:t xml:space="preserve">Safety first at intake:</w:t>
      </w:r>
      <w:r>
        <w:rPr>
          <w:rFonts w:ascii="Arial" w:cs="Arial" w:eastAsia="Arial" w:hAnsi="Arial"/>
          <w:sz w:val="20"/>
          <w:szCs w:val="20"/>
        </w:rPr>
        <w:t xml:space="preserve"> if the owner describes a symptom that the safety triage in KB-AUTO-005 marks as Critical, the advisor treats the vehicle as not safe to drive, records the symptom and does not release the vehicle until the safety-critical item is closed or explicitly deferred with the owner’s acknowledgement.</w:t>
      </w:r>
    </w:p>
    <w:p>
      <w:pPr>
        <w:pStyle w:val="Heading1"/>
        <w:keepNext/>
        <w:spacing w:after="120" w:before="280"/>
      </w:pPr>
      <w:r>
        <w:rPr>
          <w:rFonts w:ascii="Arial" w:cs="Arial" w:eastAsia="Arial" w:hAnsi="Arial"/>
          <w:b/>
          <w:bCs/>
          <w:color w:val="1F3A56"/>
          <w:sz w:val="28"/>
          <w:szCs w:val="28"/>
        </w:rPr>
        <w:t xml:space="preserve">7. Job Card Record Structure</w:t>
      </w:r>
    </w:p>
    <w:p>
      <w:pPr>
        <w:spacing w:after="100" w:line="276"/>
      </w:pPr>
      <w:r>
        <w:rPr>
          <w:rFonts w:ascii="Arial" w:cs="Arial" w:eastAsia="Arial" w:hAnsi="Arial"/>
          <w:sz w:val="20"/>
          <w:szCs w:val="20"/>
        </w:rPr>
        <w:t xml:space="preserve">The job card is the single record to which all evidence is linked. The sample fields below describe the content that should be present. Field names are descriptive and may be adapted by the service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 Group</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Content (Sample)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Identification</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Job-card reference; booking reference; vehicle family; registration reference; owner authorization reference.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 state at check-in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Odometer; fuel or charge level; usage category; visible condition notes; photographs.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concerns</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Concern text in the owner’s own words; warning indications; prior repair or modification disclosures.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Authorization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Package or inspection authorized; estimate explained; owner authorization timestamp; additional authorizations; declined items.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and diagnosis</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Technician findings; measurements; stored codes; images; technician notes.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Warranty section</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Whether a warranty concern was raised; in-service date; evidence attached; causal assessment; decision record.</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Quality check</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QC result; road-test authorization and result; items closed or deferred.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Handover</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Replaced parts explanation; recommendations; next service trigger; handover acknowledgement; invoice reference.</w:t>
            </w:r>
          </w:p>
        </w:tc>
      </w:tr>
    </w:tbl>
    <w:p>
      <w:pPr>
        <w:spacing w:after="100"/>
      </w:pPr>
    </w:p>
    <w:p>
      <w:pPr>
        <w:pStyle w:val="Heading1"/>
        <w:keepNext/>
        <w:spacing w:after="120" w:before="280"/>
      </w:pPr>
      <w:r>
        <w:rPr>
          <w:rFonts w:ascii="Arial" w:cs="Arial" w:eastAsia="Arial" w:hAnsi="Arial"/>
          <w:b/>
          <w:bCs/>
          <w:color w:val="1F3A56"/>
          <w:sz w:val="28"/>
          <w:szCs w:val="28"/>
        </w:rPr>
        <w:t xml:space="preserve">8. Inspection Recording Standards</w:t>
      </w:r>
    </w:p>
    <w:p>
      <w:pPr>
        <w:pStyle w:val="ListParagraph"/>
        <w:numPr>
          <w:ilvl w:val="0"/>
          <w:numId w:val="2"/>
        </w:numPr>
        <w:spacing w:after="60" w:line="264"/>
      </w:pPr>
      <w:r>
        <w:rPr>
          <w:rFonts w:ascii="Arial" w:cs="Arial" w:eastAsia="Arial" w:hAnsi="Arial"/>
          <w:sz w:val="20"/>
          <w:szCs w:val="20"/>
        </w:rPr>
        <w:t xml:space="preserve">Record measurements as values with units rather than as general words such as “worn” or “OK”.</w:t>
      </w:r>
    </w:p>
    <w:p>
      <w:pPr>
        <w:pStyle w:val="ListParagraph"/>
        <w:numPr>
          <w:ilvl w:val="0"/>
          <w:numId w:val="2"/>
        </w:numPr>
        <w:spacing w:after="60" w:line="264"/>
      </w:pPr>
      <w:r>
        <w:rPr>
          <w:rFonts w:ascii="Arial" w:cs="Arial" w:eastAsia="Arial" w:hAnsi="Arial"/>
          <w:sz w:val="20"/>
          <w:szCs w:val="20"/>
        </w:rPr>
        <w:t xml:space="preserve">Attach photographs of the concern, of any part found damaged and of warning indications; photographs should be linked to the job-card reference.</w:t>
      </w:r>
    </w:p>
    <w:p>
      <w:pPr>
        <w:pStyle w:val="ListParagraph"/>
        <w:numPr>
          <w:ilvl w:val="0"/>
          <w:numId w:val="2"/>
        </w:numPr>
        <w:spacing w:after="60" w:line="264"/>
      </w:pPr>
      <w:r>
        <w:rPr>
          <w:rFonts w:ascii="Arial" w:cs="Arial" w:eastAsia="Arial" w:hAnsi="Arial"/>
          <w:sz w:val="20"/>
          <w:szCs w:val="20"/>
        </w:rPr>
        <w:t xml:space="preserve">Record diagnostic codes exactly as read, with the date and the tool used.</w:t>
      </w:r>
    </w:p>
    <w:p>
      <w:pPr>
        <w:pStyle w:val="ListParagraph"/>
        <w:numPr>
          <w:ilvl w:val="0"/>
          <w:numId w:val="2"/>
        </w:numPr>
        <w:spacing w:after="60" w:line="264"/>
      </w:pPr>
      <w:r>
        <w:rPr>
          <w:rFonts w:ascii="Arial" w:cs="Arial" w:eastAsia="Arial" w:hAnsi="Arial"/>
          <w:sz w:val="20"/>
          <w:szCs w:val="20"/>
        </w:rPr>
        <w:t xml:space="preserve">Separate facts (what was measured or observed) from assessment (what the advisor concludes).</w:t>
      </w:r>
    </w:p>
    <w:p>
      <w:pPr>
        <w:pStyle w:val="ListParagraph"/>
        <w:numPr>
          <w:ilvl w:val="0"/>
          <w:numId w:val="2"/>
        </w:numPr>
        <w:spacing w:after="60" w:line="264"/>
      </w:pPr>
      <w:r>
        <w:rPr>
          <w:rFonts w:ascii="Arial" w:cs="Arial" w:eastAsia="Arial" w:hAnsi="Arial"/>
          <w:sz w:val="20"/>
          <w:szCs w:val="20"/>
        </w:rPr>
        <w:t xml:space="preserve">Record the usage category found in practice if it differs from what the owner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Area</w:t>
            </w:r>
          </w:p>
        </w:tc>
        <w:tc>
          <w:tcPr>
            <w:tcW w:type="dxa" w:w="5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Typical Record (Sample)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Relevant Families</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Brakes</w:t>
            </w:r>
          </w:p>
        </w:tc>
        <w:tc>
          <w:tcPr>
            <w:tcW w:type="dxa" w:w="5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Pad thickness and disc condition measurements; brake-fluid condition where checked; any noise or vibration description.</w:t>
            </w:r>
          </w:p>
        </w:tc>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Tyres</w:t>
            </w:r>
          </w:p>
        </w:tc>
        <w:tc>
          <w:tcPr>
            <w:tcW w:type="dxa" w:w="5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Tread depth and pressure per tyre; visible damage; uneven-wear notes.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12-volt battery</w:t>
            </w:r>
          </w:p>
        </w:tc>
        <w:tc>
          <w:tcPr>
            <w:tcW w:type="dxa" w:w="5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Battery test result and date.</w:t>
            </w:r>
          </w:p>
        </w:tc>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Fluids</w:t>
            </w:r>
          </w:p>
        </w:tc>
        <w:tc>
          <w:tcPr>
            <w:tcW w:type="dxa" w:w="5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Levels and visible condition; fluid grade used if topped up.</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 engine oil on combustion only</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and fuel system</w:t>
            </w:r>
          </w:p>
        </w:tc>
        <w:tc>
          <w:tcPr>
            <w:tcW w:type="dxa" w:w="5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Stored codes; visible leaks; fuel-filter condition where applicable.</w:t>
            </w:r>
          </w:p>
        </w:tc>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AC-HB-P, AC-SD-P, AC-SV-P, AC-SV-D</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High-voltage system</w:t>
            </w:r>
          </w:p>
        </w:tc>
        <w:tc>
          <w:tcPr>
            <w:tcW w:type="dxa" w:w="5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Diagnostic scan results; charging-port condition; battery capacity reading with the test method.</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AC-EV-1</w:t>
            </w:r>
          </w:p>
        </w:tc>
      </w:tr>
    </w:tbl>
    <w:p>
      <w:pPr>
        <w:spacing w:after="100"/>
      </w:pPr>
    </w:p>
    <w:p>
      <w:pPr>
        <w:pStyle w:val="Heading1"/>
        <w:keepNext/>
        <w:spacing w:after="120" w:before="280"/>
      </w:pPr>
      <w:r>
        <w:rPr>
          <w:rFonts w:ascii="Arial" w:cs="Arial" w:eastAsia="Arial" w:hAnsi="Arial"/>
          <w:b/>
          <w:bCs/>
          <w:color w:val="1F3A56"/>
          <w:sz w:val="28"/>
          <w:szCs w:val="28"/>
        </w:rPr>
        <w:t xml:space="preserve">9. Warranty Evidence in Detail</w:t>
      </w:r>
    </w:p>
    <w:p>
      <w:pPr>
        <w:pStyle w:val="Heading2"/>
        <w:keepNext/>
        <w:spacing w:after="80" w:before="200"/>
      </w:pPr>
      <w:r>
        <w:rPr>
          <w:rFonts w:ascii="Arial" w:cs="Arial" w:eastAsia="Arial" w:hAnsi="Arial"/>
          <w:b/>
          <w:bCs/>
          <w:color w:val="1F4E79"/>
          <w:sz w:val="23"/>
          <w:szCs w:val="23"/>
        </w:rPr>
        <w:t xml:space="preserve">9.1 Evidence by Coverage Type</w:t>
      </w:r>
    </w:p>
    <w:p>
      <w:pPr>
        <w:spacing w:after="100" w:line="276"/>
      </w:pPr>
      <w:r>
        <w:rPr>
          <w:rFonts w:ascii="Arial" w:cs="Arial" w:eastAsia="Arial" w:hAnsi="Arial"/>
          <w:sz w:val="20"/>
          <w:szCs w:val="20"/>
        </w:rPr>
        <w:t xml:space="preserve">The table below adds coverage-specific evidence to the general checklist in Section 3. Coverage terms and exclusions are defined in KB-AUTO-003.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Coverage</w:t>
            </w:r>
          </w:p>
        </w:tc>
        <w:tc>
          <w:tcPr>
            <w:tcW w:type="dxa" w:w="7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Evidence the Advisor Should Attach</w:t>
            </w:r>
          </w:p>
        </w:tc>
      </w:tr>
      <w:tr>
        <w:trPr>
          <w:cantSplit/>
        </w:trPr>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Base Vehicle</w:t>
            </w:r>
          </w:p>
        </w:tc>
        <w:tc>
          <w:tcPr>
            <w:tcW w:type="dxa" w:w="7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In-service date and odometer; description and photographs of the concern; technician findings; confirmation that the component is on the Base Vehicle list; any accessory or wiring modification disclosure.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Powertrain</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In-service date and odometer; service history showing required maintenance; diagnostic codes and measurements; fluid and fuel disclosures; technician findings and causal assessment.</w:t>
            </w:r>
          </w:p>
        </w:tc>
      </w:tr>
      <w:tr>
        <w:trPr>
          <w:cantSplit/>
        </w:trPr>
        <w:tc>
          <w:tcPr>
            <w:tcW w:type="dxa" w:w="2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 Traction Battery</w:t>
            </w:r>
          </w:p>
        </w:tc>
        <w:tc>
          <w:tcPr>
            <w:tcW w:type="dxa" w:w="7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In-service date and odometer; capacity test result with test method and date; diagnostic scan; EV Annual service history; charging-equipment disclosures; technician findings.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Replacement Part</w:t>
            </w:r>
          </w:p>
        </w:tc>
        <w:tc>
          <w:tcPr>
            <w:tcW w:type="dxa" w:w="7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Original invoice from the approved workshop showing the part, date and odometer; the vehicle’s current odometer; technician findings on the replaced part.</w:t>
            </w:r>
          </w:p>
        </w:tc>
      </w:tr>
    </w:tbl>
    <w:p>
      <w:pPr>
        <w:spacing w:after="100"/>
      </w:pPr>
    </w:p>
    <w:p>
      <w:pPr>
        <w:pStyle w:val="Heading2"/>
        <w:keepNext/>
        <w:spacing w:after="80" w:before="200"/>
      </w:pPr>
      <w:r>
        <w:rPr>
          <w:rFonts w:ascii="Arial" w:cs="Arial" w:eastAsia="Arial" w:hAnsi="Arial"/>
          <w:b/>
          <w:bCs/>
          <w:color w:val="1F4E79"/>
          <w:sz w:val="23"/>
          <w:szCs w:val="23"/>
        </w:rPr>
        <w:t xml:space="preserve">9.2 Completeness Review</w:t>
      </w:r>
    </w:p>
    <w:p>
      <w:pPr>
        <w:spacing w:after="100" w:line="276"/>
      </w:pPr>
      <w:r>
        <w:rPr>
          <w:rFonts w:ascii="Arial" w:cs="Arial" w:eastAsia="Arial" w:hAnsi="Arial"/>
          <w:sz w:val="20"/>
          <w:szCs w:val="20"/>
        </w:rPr>
        <w:t xml:space="preserve">The completeness review is performed within the SLA in Section 4. The reviewer confirms that every item required for the coverage type is present and legible. The outcomes are:</w:t>
      </w:r>
    </w:p>
    <w:p>
      <w:pPr>
        <w:pStyle w:val="ListParagraph"/>
        <w:numPr>
          <w:ilvl w:val="0"/>
          <w:numId w:val="2"/>
        </w:numPr>
        <w:spacing w:after="60" w:line="264"/>
      </w:pPr>
      <w:r>
        <w:rPr>
          <w:rFonts w:ascii="Arial" w:cs="Arial" w:eastAsia="Arial" w:hAnsi="Arial"/>
          <w:b/>
          <w:bCs/>
          <w:sz w:val="20"/>
          <w:szCs w:val="20"/>
        </w:rPr>
        <w:t xml:space="preserve">Complete:</w:t>
      </w:r>
      <w:r>
        <w:rPr>
          <w:rFonts w:ascii="Arial" w:cs="Arial" w:eastAsia="Arial" w:hAnsi="Arial"/>
          <w:sz w:val="20"/>
          <w:szCs w:val="20"/>
        </w:rPr>
        <w:t xml:space="preserve"> the claim moves to review.</w:t>
      </w:r>
    </w:p>
    <w:p>
      <w:pPr>
        <w:pStyle w:val="ListParagraph"/>
        <w:numPr>
          <w:ilvl w:val="0"/>
          <w:numId w:val="2"/>
        </w:numPr>
        <w:spacing w:after="60" w:line="264"/>
      </w:pPr>
      <w:r>
        <w:rPr>
          <w:rFonts w:ascii="Arial" w:cs="Arial" w:eastAsia="Arial" w:hAnsi="Arial"/>
          <w:b/>
          <w:bCs/>
          <w:sz w:val="20"/>
          <w:szCs w:val="20"/>
        </w:rPr>
        <w:t xml:space="preserve">Incomplete:</w:t>
      </w:r>
      <w:r>
        <w:rPr>
          <w:rFonts w:ascii="Arial" w:cs="Arial" w:eastAsia="Arial" w:hAnsi="Arial"/>
          <w:sz w:val="20"/>
          <w:szCs w:val="20"/>
        </w:rPr>
        <w:t xml:space="preserve"> the claim status becomes EVIDENCE_REQUIRED, and the advisor tells the owner exactly which items are missing.</w:t>
      </w:r>
    </w:p>
    <w:p>
      <w:pPr>
        <w:pStyle w:val="ListParagraph"/>
        <w:numPr>
          <w:ilvl w:val="0"/>
          <w:numId w:val="2"/>
        </w:numPr>
        <w:spacing w:after="60" w:line="264"/>
      </w:pPr>
      <w:r>
        <w:rPr>
          <w:rFonts w:ascii="Arial" w:cs="Arial" w:eastAsia="Arial" w:hAnsi="Arial"/>
          <w:b/>
          <w:bCs/>
          <w:sz w:val="20"/>
          <w:szCs w:val="20"/>
        </w:rPr>
        <w:t xml:space="preserve">Needs specialist input:</w:t>
      </w:r>
      <w:r>
        <w:rPr>
          <w:rFonts w:ascii="Arial" w:cs="Arial" w:eastAsia="Arial" w:hAnsi="Arial"/>
          <w:sz w:val="20"/>
          <w:szCs w:val="20"/>
        </w:rPr>
        <w:t xml:space="preserve"> the claim moves to TECHNICAL_REVIEW.</w:t>
      </w:r>
    </w:p>
    <w:p>
      <w:pPr>
        <w:pStyle w:val="Heading2"/>
        <w:keepNext/>
        <w:spacing w:after="80" w:before="200"/>
      </w:pPr>
      <w:r>
        <w:rPr>
          <w:rFonts w:ascii="Arial" w:cs="Arial" w:eastAsia="Arial" w:hAnsi="Arial"/>
          <w:b/>
          <w:bCs/>
          <w:color w:val="1F4E79"/>
          <w:sz w:val="23"/>
          <w:szCs w:val="23"/>
        </w:rPr>
        <w:t xml:space="preserve">9.3 Causal Assessment Note</w:t>
      </w:r>
    </w:p>
    <w:p>
      <w:pPr>
        <w:spacing w:after="100" w:line="276"/>
      </w:pPr>
      <w:r>
        <w:rPr>
          <w:rFonts w:ascii="Arial" w:cs="Arial" w:eastAsia="Arial" w:hAnsi="Arial"/>
          <w:sz w:val="20"/>
          <w:szCs w:val="20"/>
        </w:rPr>
        <w:t xml:space="preserve">For any concern that could be affected by maintenance, modification, fluids, accident damage or use, the advisor records a short causal assessment note. A suitable note answers four questions, and each answer should refer to recorded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6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Example of a Sufficient Answer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was observed?</w:t>
            </w:r>
          </w:p>
        </w:tc>
        <w:tc>
          <w:tcPr>
            <w:tcW w:type="dxa" w:w="6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Measured capacity of 68% on the traction battery by the workshop test on a stated date.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Which policy section applies?</w:t>
            </w:r>
          </w:p>
        </w:tc>
        <w:tc>
          <w:tcPr>
            <w:tcW w:type="dxa" w:w="6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KB-AUTO-003 Section 2, EV Traction Battery, and Section 7.3 on diagnostic confirmation.</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Does any exclusion apply and is it causally relevant?</w:t>
            </w:r>
          </w:p>
        </w:tc>
        <w:tc>
          <w:tcPr>
            <w:tcW w:type="dxa" w:w="6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accident, flood or modification recorded; charging records show normal use.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recommended route?</w:t>
            </w:r>
          </w:p>
        </w:tc>
        <w:tc>
          <w:tcPr>
            <w:tcW w:type="dxa" w:w="6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Technical review by the specialist because the reading is below the sample threshold.</w:t>
            </w:r>
          </w:p>
        </w:tc>
      </w:tr>
    </w:tbl>
    <w:p>
      <w:pPr>
        <w:spacing w:after="100"/>
      </w:pPr>
    </w:p>
    <w:p>
      <w:pPr>
        <w:pStyle w:val="Heading2"/>
        <w:keepNext/>
        <w:spacing w:after="80" w:before="200"/>
      </w:pPr>
      <w:r>
        <w:rPr>
          <w:rFonts w:ascii="Arial" w:cs="Arial" w:eastAsia="Arial" w:hAnsi="Arial"/>
          <w:b/>
          <w:bCs/>
          <w:color w:val="1F4E79"/>
          <w:sz w:val="23"/>
          <w:szCs w:val="23"/>
        </w:rPr>
        <w:t xml:space="preserve">9.4 Decision Record</w:t>
      </w:r>
    </w:p>
    <w:p>
      <w:pPr>
        <w:spacing w:after="100" w:line="276"/>
      </w:pPr>
      <w:r>
        <w:rPr>
          <w:rFonts w:ascii="Arial" w:cs="Arial" w:eastAsia="Arial" w:hAnsi="Arial"/>
          <w:sz w:val="20"/>
          <w:szCs w:val="20"/>
        </w:rPr>
        <w:t xml:space="preserve">A final decision is recorded in the authorized system with the approver’s identity, the date and time, the outcome, the cited policy section and the policy version. AutoCare AI never records a final decision. The assistant’s pre-check result (potentially covered, potentially excluded, insufficient evidence or advisor review required) is an input to the advisor and is not a decision.</w:t>
      </w:r>
    </w:p>
    <w:p>
      <w:pPr>
        <w:pStyle w:val="Heading1"/>
        <w:keepNext/>
        <w:spacing w:after="120" w:before="280"/>
      </w:pPr>
      <w:r>
        <w:rPr>
          <w:rFonts w:ascii="Arial" w:cs="Arial" w:eastAsia="Arial" w:hAnsi="Arial"/>
          <w:b/>
          <w:bCs/>
          <w:color w:val="1F3A56"/>
          <w:sz w:val="28"/>
          <w:szCs w:val="28"/>
        </w:rPr>
        <w:t xml:space="preserve">10. SLA Operating Rules</w:t>
      </w:r>
    </w:p>
    <w:p>
      <w:pPr>
        <w:pStyle w:val="Heading2"/>
        <w:keepNext/>
        <w:spacing w:after="80" w:before="200"/>
      </w:pPr>
      <w:r>
        <w:rPr>
          <w:rFonts w:ascii="Arial" w:cs="Arial" w:eastAsia="Arial" w:hAnsi="Arial"/>
          <w:b/>
          <w:bCs/>
          <w:color w:val="1F4E79"/>
          <w:sz w:val="23"/>
          <w:szCs w:val="23"/>
        </w:rPr>
        <w:t xml:space="preserve">10.1 How Targets Are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Rule</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Definition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Business hours</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Sample workshop business hours are Monday to Saturday, 09:00 to 18:00. Targets expressed in business hours or business days count only within these hours.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Clock start</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Intake: from the check-in time. Inspection update: from the start of diagnosis. Evidence review: from submission of the evidence. Technical review: from the time the evidence is marked complete. Complaint acknowledgement: from the time the complaint is received.</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Clock pause</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clock pauses while the service system shows AWAITING_APPROVAL for an owner decision, or EVIDENCE_REQUIRED for owner-provided evidence.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Clock stop</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target is met when the required action is recorded in the service system.</w:t>
            </w:r>
          </w:p>
        </w:tc>
      </w:tr>
    </w:tbl>
    <w:p>
      <w:pPr>
        <w:spacing w:after="100"/>
      </w:pPr>
    </w:p>
    <w:p>
      <w:pPr>
        <w:pStyle w:val="Heading2"/>
        <w:keepNext/>
        <w:spacing w:after="80" w:before="200"/>
      </w:pPr>
      <w:r>
        <w:rPr>
          <w:rFonts w:ascii="Arial" w:cs="Arial" w:eastAsia="Arial" w:hAnsi="Arial"/>
          <w:b/>
          <w:bCs/>
          <w:color w:val="1F4E79"/>
          <w:sz w:val="23"/>
          <w:szCs w:val="23"/>
        </w:rPr>
        <w:t xml:space="preserve">10.2 Escalation Ladder</w:t>
      </w:r>
    </w:p>
    <w:p>
      <w:pPr>
        <w:spacing w:after="100" w:line="276"/>
      </w:pPr>
      <w:r>
        <w:rPr>
          <w:rFonts w:ascii="Arial" w:cs="Arial" w:eastAsia="Arial" w:hAnsi="Arial"/>
          <w:sz w:val="20"/>
          <w:szCs w:val="20"/>
        </w:rPr>
        <w:t xml:space="preserve">The escalation column in Section 4 names who is notified when a target is at risk or missed. The sample ladder below describes the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Step</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Action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 Warning</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When a target is at risk, the advisor informs the named escalation contact.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 Breach</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When a target is missed, the escalation contact is notified and the reason is recorded on the job card.</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 Owner update</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owner is told that the update is delayed and what the next step is, without promising a completion date.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 Review</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Repeated breaches are reviewed by the next level, for example the workshop manager or customer-care lead.</w:t>
            </w:r>
          </w:p>
        </w:tc>
      </w:tr>
    </w:tbl>
    <w:p>
      <w:pPr>
        <w:spacing w:after="100"/>
      </w:pPr>
    </w:p>
    <w:p>
      <w:pPr>
        <w:pStyle w:val="Heading2"/>
        <w:keepNext/>
        <w:spacing w:after="80" w:before="200"/>
      </w:pPr>
      <w:r>
        <w:rPr>
          <w:rFonts w:ascii="Arial" w:cs="Arial" w:eastAsia="Arial" w:hAnsi="Arial"/>
          <w:b/>
          <w:bCs/>
          <w:color w:val="1F4E79"/>
          <w:sz w:val="23"/>
          <w:szCs w:val="23"/>
        </w:rPr>
        <w:t xml:space="preserve">10.3 SLA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cantSplit/>
          <w:tblHeader/>
        </w:trPr>
        <w:tc>
          <w:tcPr>
            <w:tcW w:type="dxa" w:w="4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Situation</w:t>
            </w:r>
          </w:p>
        </w:tc>
        <w:tc>
          <w:tcPr>
            <w:tcW w:type="dxa" w:w="4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Handling</w:t>
            </w:r>
          </w:p>
        </w:tc>
      </w:tr>
      <w:tr>
        <w:trPr>
          <w:cantSplit/>
        </w:trPr>
        <w:tc>
          <w:tcPr>
            <w:tcW w:type="dxa" w:w="4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checked in at 10:00 and no intake is complete by 10:30</w:t>
            </w:r>
          </w:p>
        </w:tc>
        <w:tc>
          <w:tcPr>
            <w:tcW w:type="dxa" w:w="4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workshop coordinator is notified.</w:t>
            </w:r>
          </w:p>
        </w:tc>
      </w:tr>
      <w:tr>
        <w:trPr>
          <w:cantSplit/>
        </w:trPr>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update is not given within 4 business hours</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service-advisor lead is notified and the owner is updated that the inspection is still in progress.</w:t>
            </w:r>
          </w:p>
        </w:tc>
      </w:tr>
      <w:tr>
        <w:trPr>
          <w:cantSplit/>
        </w:trPr>
        <w:tc>
          <w:tcPr>
            <w:tcW w:type="dxa" w:w="4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Evidence submitted on Monday; completeness review not done by end of Tuesday</w:t>
            </w:r>
          </w:p>
        </w:tc>
        <w:tc>
          <w:tcPr>
            <w:tcW w:type="dxa" w:w="4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warranty coordinator is notified.</w:t>
            </w:r>
          </w:p>
        </w:tc>
      </w:tr>
      <w:tr>
        <w:trPr>
          <w:cantSplit/>
        </w:trPr>
        <w:tc>
          <w:tcPr>
            <w:tcW w:type="dxa" w:w="4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Evidence marked complete; technical review not done within 3 business days</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technical specialist is notified.</w:t>
            </w:r>
          </w:p>
        </w:tc>
      </w:tr>
      <w:tr>
        <w:trPr>
          <w:cantSplit/>
        </w:trPr>
        <w:tc>
          <w:tcPr>
            <w:tcW w:type="dxa" w:w="4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Complaint received and not acknowledged within 1 business day</w:t>
            </w:r>
          </w:p>
        </w:tc>
        <w:tc>
          <w:tcPr>
            <w:tcW w:type="dxa" w:w="4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customer-care lead is notified.</w:t>
            </w:r>
          </w:p>
        </w:tc>
      </w:tr>
    </w:tbl>
    <w:p>
      <w:pPr>
        <w:spacing w:after="100"/>
      </w:pPr>
    </w:p>
    <w:p>
      <w:pPr>
        <w:pStyle w:val="Heading1"/>
        <w:keepNext/>
        <w:spacing w:after="120" w:before="280"/>
      </w:pPr>
      <w:r>
        <w:rPr>
          <w:rFonts w:ascii="Arial" w:cs="Arial" w:eastAsia="Arial" w:hAnsi="Arial"/>
          <w:b/>
          <w:bCs/>
          <w:color w:val="1F3A56"/>
          <w:sz w:val="28"/>
          <w:szCs w:val="28"/>
        </w:rPr>
        <w:t xml:space="preserve">11. Estimates, Approvals and Deferred Items</w:t>
      </w:r>
    </w:p>
    <w:p>
      <w:pPr>
        <w:pStyle w:val="ListParagraph"/>
        <w:numPr>
          <w:ilvl w:val="0"/>
          <w:numId w:val="2"/>
        </w:numPr>
        <w:spacing w:after="60" w:line="264"/>
      </w:pPr>
      <w:r>
        <w:rPr>
          <w:rFonts w:ascii="Arial" w:cs="Arial" w:eastAsia="Arial" w:hAnsi="Arial"/>
          <w:sz w:val="20"/>
          <w:szCs w:val="20"/>
        </w:rPr>
        <w:t xml:space="preserve">Explain the planned inspection, package and sample estimate clearly before obtaining authorization.</w:t>
      </w:r>
    </w:p>
    <w:p>
      <w:pPr>
        <w:pStyle w:val="ListParagraph"/>
        <w:numPr>
          <w:ilvl w:val="0"/>
          <w:numId w:val="2"/>
        </w:numPr>
        <w:spacing w:after="60" w:line="264"/>
      </w:pPr>
      <w:r>
        <w:rPr>
          <w:rFonts w:ascii="Arial" w:cs="Arial" w:eastAsia="Arial" w:hAnsi="Arial"/>
          <w:sz w:val="20"/>
          <w:szCs w:val="20"/>
        </w:rPr>
        <w:t xml:space="preserve">Obtain a new authorization for any additional work. The job card shows AWAITING_APPROVAL until the owner decides.</w:t>
      </w:r>
    </w:p>
    <w:p>
      <w:pPr>
        <w:pStyle w:val="ListParagraph"/>
        <w:numPr>
          <w:ilvl w:val="0"/>
          <w:numId w:val="2"/>
        </w:numPr>
        <w:spacing w:after="60" w:line="264"/>
      </w:pPr>
      <w:r>
        <w:rPr>
          <w:rFonts w:ascii="Arial" w:cs="Arial" w:eastAsia="Arial" w:hAnsi="Arial"/>
          <w:sz w:val="20"/>
          <w:szCs w:val="20"/>
        </w:rPr>
        <w:t xml:space="preserve">Record each declined item.</w:t>
      </w:r>
    </w:p>
    <w:p>
      <w:pPr>
        <w:pStyle w:val="ListParagraph"/>
        <w:numPr>
          <w:ilvl w:val="0"/>
          <w:numId w:val="2"/>
        </w:numPr>
        <w:spacing w:after="60" w:line="264"/>
      </w:pPr>
      <w:r>
        <w:rPr>
          <w:rFonts w:ascii="Arial" w:cs="Arial" w:eastAsia="Arial" w:hAnsi="Arial"/>
          <w:sz w:val="20"/>
          <w:szCs w:val="20"/>
        </w:rPr>
        <w:t xml:space="preserve">For a safety-critical item that the owner declines, record a deferral with the owner’s explicit acknowledgement before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Deferral Record Field</w:t>
            </w:r>
          </w:p>
        </w:tc>
        <w:tc>
          <w:tcPr>
            <w:tcW w:type="dxa" w:w="6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Content</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Item deferred</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Description of the safety-critical item and the reason it is considered safety-critical.</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Advisor explanation</w:t>
            </w:r>
          </w:p>
        </w:tc>
        <w:tc>
          <w:tcPr>
            <w:tcW w:type="dxa" w:w="6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short note confirming the risk was explained to the owner.</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acknowledgement</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confirmation that the item was explained and is being deferred by the owner’s choice.</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Date, time and advisor</w:t>
            </w:r>
          </w:p>
        </w:tc>
        <w:tc>
          <w:tcPr>
            <w:tcW w:type="dxa" w:w="6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When the deferral was recorded and by whom.</w:t>
            </w:r>
          </w:p>
        </w:tc>
      </w:tr>
    </w:tbl>
    <w:p>
      <w:pPr>
        <w:spacing w:after="100"/>
      </w:pPr>
    </w:p>
    <w:p>
      <w:pPr>
        <w:pStyle w:val="Heading1"/>
        <w:keepNext/>
        <w:spacing w:after="120" w:before="280"/>
      </w:pPr>
      <w:r>
        <w:rPr>
          <w:rFonts w:ascii="Arial" w:cs="Arial" w:eastAsia="Arial" w:hAnsi="Arial"/>
          <w:b/>
          <w:bCs/>
          <w:color w:val="1F3A56"/>
          <w:sz w:val="28"/>
          <w:szCs w:val="28"/>
        </w:rPr>
        <w:t xml:space="preserve">12. Quality and Handover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Check</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Done When</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 authorized work recorded</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Every authorized item appears on the job card with its outcome.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unauthorized work</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chargeable work appears that the owner did not authorize.</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Safety-critical items</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Each item is closed or deferred with acknowledgement.</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Quality check result</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QC result is recorded; any road test was authorized.</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Replaced parts explained</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owner has been told what was replaced and why.</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Recommendations explained</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owner understands non-urgent recommendations and any warranty relevance.</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Next service trigger given</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next trigger is stated using the earlier of distance or time (KB-AUTO-002).</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Invoice and acknowledgement</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invoice is issued and the handover acknowledgement is recorded.</w:t>
            </w:r>
          </w:p>
        </w:tc>
      </w:tr>
    </w:tbl>
    <w:p>
      <w:pPr>
        <w:spacing w:after="100"/>
      </w:pPr>
    </w:p>
    <w:p>
      <w:pPr>
        <w:pStyle w:val="Heading2"/>
        <w:keepNext/>
        <w:spacing w:after="80" w:before="200"/>
      </w:pPr>
      <w:r>
        <w:rPr>
          <w:rFonts w:ascii="Arial" w:cs="Arial" w:eastAsia="Arial" w:hAnsi="Arial"/>
          <w:b/>
          <w:bCs/>
          <w:color w:val="1F4E79"/>
          <w:sz w:val="23"/>
          <w:szCs w:val="23"/>
        </w:rPr>
        <w:t xml:space="preserve">12.1 Language at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Use</w:t>
            </w:r>
          </w:p>
        </w:tc>
        <w:tc>
          <w:tcPr>
            <w:tcW w:type="dxa" w:w="468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Avoid</w:t>
            </w:r>
          </w:p>
        </w:tc>
      </w:tr>
      <w:tr>
        <w:trPr>
          <w:cantSplit/>
        </w:trPr>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work shown on the invoice has been completed and checked.</w:t>
            </w:r>
          </w:p>
        </w:tc>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vehicle will not have any further problems.</w:t>
            </w:r>
          </w:p>
        </w:tc>
      </w:tr>
      <w:tr>
        <w:trPr>
          <w:cantSplit/>
        </w:trP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Your next service is due at the earlier of the distance or time trigger.</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You do not need to service this again for a long time.</w:t>
            </w:r>
          </w:p>
        </w:tc>
      </w:tr>
      <w:tr>
        <w:trPr>
          <w:cantSplit/>
        </w:trPr>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Warranty decisions are recorded in the authorized system by the responsible reviewer.</w:t>
            </w:r>
          </w:p>
        </w:tc>
        <w:tc>
          <w:tcPr>
            <w:tcW w:type="dxa" w:w="468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This will definitely be covered.</w:t>
            </w:r>
          </w:p>
        </w:tc>
      </w:tr>
      <w:tr>
        <w:trPr>
          <w:cantSplit/>
        </w:trPr>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 will update you from the service system.</w:t>
            </w:r>
          </w:p>
        </w:tc>
        <w:tc>
          <w:tcPr>
            <w:tcW w:type="dxa" w:w="468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It will be ready tomorrow (unless the system shows it).</w:t>
            </w:r>
          </w:p>
        </w:tc>
      </w:tr>
    </w:tbl>
    <w:p>
      <w:pPr>
        <w:spacing w:after="100"/>
      </w:pPr>
    </w:p>
    <w:p>
      <w:pPr>
        <w:pStyle w:val="Heading1"/>
        <w:keepNext/>
        <w:spacing w:after="120" w:before="280"/>
      </w:pPr>
      <w:r>
        <w:rPr>
          <w:rFonts w:ascii="Arial" w:cs="Arial" w:eastAsia="Arial" w:hAnsi="Arial"/>
          <w:b/>
          <w:bCs/>
          <w:color w:val="1F3A56"/>
          <w:sz w:val="28"/>
          <w:szCs w:val="28"/>
        </w:rPr>
        <w:t xml:space="preserve">13. Promises Advisors Must Not Make</w:t>
      </w:r>
    </w:p>
    <w:p>
      <w:pPr>
        <w:pStyle w:val="ListParagraph"/>
        <w:numPr>
          <w:ilvl w:val="0"/>
          <w:numId w:val="2"/>
        </w:numPr>
        <w:spacing w:after="60" w:line="264"/>
      </w:pPr>
      <w:r>
        <w:rPr>
          <w:rFonts w:ascii="Arial" w:cs="Arial" w:eastAsia="Arial" w:hAnsi="Arial"/>
          <w:sz w:val="20"/>
          <w:szCs w:val="20"/>
        </w:rPr>
        <w:t xml:space="preserve">Do not promise reimbursement, warranty coverage or a claim outcome outside the authorized system.</w:t>
      </w:r>
    </w:p>
    <w:p>
      <w:pPr>
        <w:pStyle w:val="ListParagraph"/>
        <w:numPr>
          <w:ilvl w:val="0"/>
          <w:numId w:val="2"/>
        </w:numPr>
        <w:spacing w:after="60" w:line="264"/>
      </w:pPr>
      <w:r>
        <w:rPr>
          <w:rFonts w:ascii="Arial" w:cs="Arial" w:eastAsia="Arial" w:hAnsi="Arial"/>
          <w:sz w:val="20"/>
          <w:szCs w:val="20"/>
        </w:rPr>
        <w:t xml:space="preserve">Do not promise completion dates, part arrival dates or roadside arrival times that are not shown in the authorized system.</w:t>
      </w:r>
    </w:p>
    <w:p>
      <w:pPr>
        <w:pStyle w:val="ListParagraph"/>
        <w:numPr>
          <w:ilvl w:val="0"/>
          <w:numId w:val="2"/>
        </w:numPr>
        <w:spacing w:after="60" w:line="264"/>
      </w:pPr>
      <w:r>
        <w:rPr>
          <w:rFonts w:ascii="Arial" w:cs="Arial" w:eastAsia="Arial" w:hAnsi="Arial"/>
          <w:sz w:val="20"/>
          <w:szCs w:val="20"/>
        </w:rPr>
        <w:t xml:space="preserve">Do not state costs that are not in the authorized estimate or invoice.</w:t>
      </w:r>
    </w:p>
    <w:p>
      <w:pPr>
        <w:pStyle w:val="ListParagraph"/>
        <w:numPr>
          <w:ilvl w:val="0"/>
          <w:numId w:val="2"/>
        </w:numPr>
        <w:spacing w:after="60" w:line="264"/>
      </w:pPr>
      <w:r>
        <w:rPr>
          <w:rFonts w:ascii="Arial" w:cs="Arial" w:eastAsia="Arial" w:hAnsi="Arial"/>
          <w:sz w:val="20"/>
          <w:szCs w:val="20"/>
        </w:rPr>
        <w:t xml:space="preserve">Do not describe the AI assistant’s pre-check as an approval or rejection.</w:t>
      </w:r>
    </w:p>
    <w:p>
      <w:pPr>
        <w:pStyle w:val="Heading1"/>
        <w:keepNext/>
        <w:spacing w:after="120" w:before="280"/>
      </w:pPr>
      <w:r>
        <w:rPr>
          <w:rFonts w:ascii="Arial" w:cs="Arial" w:eastAsia="Arial" w:hAnsi="Arial"/>
          <w:b/>
          <w:bCs/>
          <w:color w:val="1F3A56"/>
          <w:sz w:val="28"/>
          <w:szCs w:val="28"/>
        </w:rPr>
        <w:t xml:space="preserve">14. Working with the AutoCare AI Assistant</w:t>
      </w:r>
    </w:p>
    <w:p>
      <w:pPr>
        <w:pStyle w:val="ListParagraph"/>
        <w:numPr>
          <w:ilvl w:val="0"/>
          <w:numId w:val="2"/>
        </w:numPr>
        <w:spacing w:after="60" w:line="264"/>
      </w:pPr>
      <w:r>
        <w:rPr>
          <w:rFonts w:ascii="Arial" w:cs="Arial" w:eastAsia="Arial" w:hAnsi="Arial"/>
          <w:sz w:val="20"/>
          <w:szCs w:val="20"/>
        </w:rPr>
        <w:t xml:space="preserve">The assistant gives preliminary, cited guidance to owners. Advisors remain responsible for diagnosis, evidence and decisions.</w:t>
      </w:r>
    </w:p>
    <w:p>
      <w:pPr>
        <w:pStyle w:val="ListParagraph"/>
        <w:numPr>
          <w:ilvl w:val="0"/>
          <w:numId w:val="2"/>
        </w:numPr>
        <w:spacing w:after="60" w:line="264"/>
      </w:pPr>
      <w:r>
        <w:rPr>
          <w:rFonts w:ascii="Arial" w:cs="Arial" w:eastAsia="Arial" w:hAnsi="Arial"/>
          <w:sz w:val="20"/>
          <w:szCs w:val="20"/>
        </w:rPr>
        <w:t xml:space="preserve">When an owner shares an assistant pre-check result, the advisor treats it as a starting point and verifies it against the evidence on the job card.</w:t>
      </w:r>
    </w:p>
    <w:p>
      <w:pPr>
        <w:pStyle w:val="ListParagraph"/>
        <w:numPr>
          <w:ilvl w:val="0"/>
          <w:numId w:val="2"/>
        </w:numPr>
        <w:spacing w:after="60" w:line="264"/>
      </w:pPr>
      <w:r>
        <w:rPr>
          <w:rFonts w:ascii="Arial" w:cs="Arial" w:eastAsia="Arial" w:hAnsi="Arial"/>
          <w:sz w:val="20"/>
          <w:szCs w:val="20"/>
        </w:rPr>
        <w:t xml:space="preserve">If the advisor disagrees with the assistant’s guidance, the advisor follows the active policy documents and may raise a KB change request through KB administration (KB-AUTO-008).</w:t>
      </w:r>
    </w:p>
    <w:p>
      <w:pPr>
        <w:pStyle w:val="ListParagraph"/>
        <w:numPr>
          <w:ilvl w:val="0"/>
          <w:numId w:val="2"/>
        </w:numPr>
        <w:spacing w:after="60" w:line="264"/>
      </w:pPr>
      <w:r>
        <w:rPr>
          <w:rFonts w:ascii="Arial" w:cs="Arial" w:eastAsia="Arial" w:hAnsi="Arial"/>
          <w:sz w:val="20"/>
          <w:szCs w:val="20"/>
        </w:rPr>
        <w:t xml:space="preserve">Advisors can retrieve advisor-only content such as this document; owners cannot.</w:t>
      </w:r>
    </w:p>
    <w:p>
      <w:pPr>
        <w:pStyle w:val="Heading1"/>
        <w:keepNext/>
        <w:spacing w:after="120" w:before="280"/>
      </w:pPr>
      <w:r>
        <w:rPr>
          <w:rFonts w:ascii="Arial" w:cs="Arial" w:eastAsia="Arial" w:hAnsi="Arial"/>
          <w:b/>
          <w:bCs/>
          <w:color w:val="1F3A56"/>
          <w:sz w:val="28"/>
          <w:szCs w:val="28"/>
        </w:rPr>
        <w:t xml:space="preserve">15. Worked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Scenario</w:t>
            </w:r>
          </w:p>
        </w:tc>
        <w:tc>
          <w:tcPr>
            <w:tcW w:type="dxa" w:w="5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Advisor Actions</w:t>
            </w:r>
          </w:p>
        </w:tc>
      </w:tr>
      <w:tr>
        <w:trPr>
          <w:cantSplit/>
        </w:trPr>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EonEV owner reports range drop and asks about battery warranty. Battery capacity reading is 68%.</w:t>
            </w:r>
          </w:p>
        </w:tc>
        <w:tc>
          <w:tcPr>
            <w:tcW w:type="dxa" w:w="5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Record in-service date and odometer; attach capacity test result with method and date; attach EV Annual history; write a causal assessment note; move the claim to TECHNICAL_REVIEW; do not tell the owner the claim will be approved.</w:t>
            </w:r>
          </w:p>
        </w:tc>
      </w:tr>
      <w:tr>
        <w:trPr>
          <w:cantSplit/>
        </w:trPr>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TrailSUV D owner reports knocking noise; service invoices are missing for the last service.</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the concern in the owner’s words; request the missing invoice; set the claim status to EVIDENCE_REQUIRED; explain which evidence is missing; the clock pauses until evidence is provided.</w:t>
            </w:r>
          </w:p>
        </w:tc>
      </w:tr>
      <w:tr>
        <w:trPr>
          <w:cantSplit/>
        </w:trPr>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Owner declines brake pad replacement recommended as safety-critical.</w:t>
            </w:r>
          </w:p>
        </w:tc>
        <w:tc>
          <w:tcPr>
            <w:tcW w:type="dxa" w:w="5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Record the declined item; record a deferral with the owner’s acknowledgement; do not release without the record; explain the risk without pressure.</w:t>
            </w:r>
          </w:p>
        </w:tc>
      </w:tr>
      <w:tr>
        <w:trPr>
          <w:cantSplit/>
        </w:trPr>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Owner asks at handover when the warranty decision will be made.</w:t>
            </w:r>
          </w:p>
        </w:tc>
        <w:tc>
          <w:tcPr>
            <w:tcW w:type="dxa" w:w="5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decisions are recorded in the authorized system by the responsible reviewer, and give no date unless the system shows one.</w:t>
            </w:r>
          </w:p>
        </w:tc>
      </w:tr>
    </w:tbl>
    <w:p>
      <w:pPr>
        <w:spacing w:after="100"/>
      </w:pPr>
    </w:p>
    <w:p>
      <w:pPr>
        <w:pStyle w:val="Heading1"/>
        <w:keepNext/>
        <w:spacing w:after="120" w:before="280"/>
      </w:pPr>
      <w:r>
        <w:rPr>
          <w:rFonts w:ascii="Arial" w:cs="Arial" w:eastAsia="Arial" w:hAnsi="Arial"/>
          <w:b/>
          <w:bCs/>
          <w:color w:val="1F3A56"/>
          <w:sz w:val="28"/>
          <w:szCs w:val="28"/>
        </w:rPr>
        <w:t xml:space="preserve">16.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must be captured at intake?</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family, odometer, usage category, owner concerns in their own words, visible warning indicators, prior repair or modification disclosures and a job-card reference.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long do I have for the initial inspection update?</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Within 4 business hours, with escalation to the service-advisor lead.</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Who reviews the technical evidence?</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technical specialist, within 3 business days after complete evidence.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must a final warranty decision record contain?</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approver, the cited policy section and the policy version, along with the outcome and timestamp.</w:t>
            </w:r>
          </w:p>
        </w:tc>
      </w:tr>
      <w:tr>
        <w:trPr>
          <w:cantSplit/>
        </w:trPr>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Can I tell an owner a claim will be approved?</w:t>
            </w:r>
          </w:p>
        </w:tc>
        <w:tc>
          <w:tcPr>
            <w:tcW w:type="dxa" w:w="5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Do not promise coverage or reimbursement outside the authorized system.</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When is a deferral needed?</w:t>
            </w:r>
          </w:p>
        </w:tc>
        <w:tc>
          <w:tcPr>
            <w:tcW w:type="dxa" w:w="5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When a safety-critical item is not closed before handover, for example because the owner declined it.</w:t>
            </w:r>
          </w:p>
        </w:tc>
      </w:tr>
    </w:tbl>
    <w:p>
      <w:pPr>
        <w:spacing w:after="100"/>
      </w:pPr>
    </w:p>
    <w:p>
      <w:pPr>
        <w:pStyle w:val="Heading1"/>
        <w:keepNext/>
        <w:spacing w:after="120" w:before="280"/>
      </w:pPr>
      <w:r>
        <w:rPr>
          <w:rFonts w:ascii="Arial" w:cs="Arial" w:eastAsia="Arial" w:hAnsi="Arial"/>
          <w:b/>
          <w:bCs/>
          <w:color w:val="1F3A56"/>
          <w:sz w:val="28"/>
          <w:szCs w:val="28"/>
        </w:rPr>
        <w:t xml:space="preserve">17. Sample Retrieval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do I need to capture at vehicle intake?</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KB-AUTO-007, Sections 2 and 6</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List the checklist items with brief detail; advisor audience only.</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SLA for warranty evidence review?</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KB-AUTO-007, Section 4</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within 1 business day with escalation to the warranty coordinator.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How should I record a declined safety-critical item?</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KB-AUTO-007, Sections 5 and 11</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deferral with owner acknowledgement and recorded fields.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Can I promise the owner reimbursement?</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KB-AUTO-007, Sections 5 and 13</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do not promise outside the authorized system.</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 owner (not advisor) asks for the internal SLA targets.</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Audience filter: advisor only</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advisor-only content should be retrieved for an owner; respond that the information is not available to this role.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evidence for an EV battery claim?</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KB-AUTO-007, Section 9.1</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List the evidence for EV Traction Battery including capacity test method and EV Annual history.</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KB-AUTO-007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Service Advisor Operations, Inspection &amp; SLA  |  KB-AUTO-007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KB-AUTO-007 Service Advisor Operations, Inspection &amp; SLA</dc:title>
  <dc:creator>AutoCare AI Knowledge Governance Team</dc:creator>
  <cp:lastModifiedBy>Un-named</cp:lastModifiedBy>
  <cp:revision>1</cp:revision>
  <dcterms:created xsi:type="dcterms:W3CDTF">2026-10-14T10:36:13.136Z</dcterms:created>
  <dcterms:modified xsi:type="dcterms:W3CDTF">2026-10-14T10:36:13.136Z</dcterms:modified>
</cp:coreProperties>
</file>

<file path=docProps/custom.xml><?xml version="1.0" encoding="utf-8"?>
<Properties xmlns="http://schemas.openxmlformats.org/officeDocument/2006/custom-properties" xmlns:vt="http://schemas.openxmlformats.org/officeDocument/2006/docPropsVTypes"/>
</file>