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trade-word list),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split a known trade word</w:t>
      </w:r>
      <w:r>
        <w:t xml:space="preserve"> off a run-together token via </w:t>
      </w:r>
      <w:r>
        <w:rPr>
          <w:rFonts w:ascii="Consolas" w:hAnsi="Consolas"/>
          <w:color w:val="9C2D41"/>
        </w:rPr>
        <w:t xml:space="preserve">SERVICE_WORDS</w:t>
      </w:r>
      <w:r>
        <w:t xml:space="preserve"> ("m1plumbing" → "m1 plumbing", "ashgardens" → "ash gardens"); (4) </w:t>
      </w:r>
      <w:r>
        <w:rPr>
          <w:b/>
        </w:rPr>
        <w:t xml:space="preserve">Title-Case an all-lowercase name only</w:t>
      </w:r>
      <w:r>
        <w:t xml:space="preserve"> (so MOT / Marks &amp; Spencer / already capitalised names are left); (5) </w:t>
      </w:r>
      <w:r>
        <w:rPr>
          <w:b/>
        </w:rPr>
        <w:t xml:space="preserve">trim a keyword-stuffed overlong name</w:t>
      </w:r>
      <w:r>
        <w:t xml:space="preserve"> (&gt;34 chars) to its first one or two phrases.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