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 (existing integration; recipient </w:t>
      </w:r>
      <w:r>
        <w:rPr>
          <w:rFonts w:ascii="Consolas" w:hAnsi="Consolas"/>
          <w:color w:val="9C2D41"/>
        </w:rPr>
        <w:t xml:space="preserve">LEAD_EMAIL_TO</w:t>
      </w:r>
      <w:r>
        <w:t xml:space="preserve"> ||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). Anti-spam: a hidden honeypot + the slug must map to a real site. Renders from stored JSON, so live sites get it with no rebuild. (Next: an in-app enquiries inbox + routing the email to the client's own address once accounts exist.)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