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1B365D"/>
          <w:sz w:val="44"/>
        </w:rPr>
        <w:t>Social Media Engagement &amp; Sentiment Analytics Report</w:t>
      </w:r>
    </w:p>
    <w:p>
      <w:pPr>
        <w:spacing w:after="360"/>
        <w:jc w:val="center"/>
      </w:pPr>
      <w:r>
        <w:rPr>
          <w:rFonts w:ascii="Calibri" w:hAnsi="Calibri"/>
          <w:i/>
          <w:color w:val="646464"/>
          <w:sz w:val="26"/>
        </w:rPr>
        <w:t>Performance Ranking &amp; Behavioral Analysis of Negative and Neutral Posts</w:t>
      </w:r>
    </w:p>
    <w:p>
      <w:pPr>
        <w:keepNext/>
        <w:spacing w:before="360" w:after="120"/>
      </w:pPr>
      <w:r>
        <w:rPr>
          <w:rFonts w:ascii="Arial" w:hAnsi="Arial"/>
          <w:b/>
          <w:color w:val="1B365D"/>
          <w:sz w:val="32"/>
        </w:rPr>
        <w:t>1. Executive Summary</w:t>
      </w:r>
    </w:p>
    <w:p>
      <w:pPr>
        <w:spacing w:after="120" w:line="276" w:lineRule="auto"/>
      </w:pPr>
      <w:r>
        <w:rPr>
          <w:rFonts w:ascii="Calibri" w:hAnsi="Calibri"/>
          <w:i w:val="0"/>
          <w:color w:val="333333"/>
          <w:sz w:val="22"/>
        </w:rPr>
        <w:t>This analysis evaluates 5,000 social media engagement records to determine performance across sentiment categories (Positive, Neutral, Negative) and analyze user behavior patterns associated with non-positive content.</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after="80"/>
            </w:pPr>
            <w:r>
              <w:rPr>
                <w:rFonts w:ascii="Arial" w:hAnsi="Arial"/>
                <w:b/>
                <w:color w:val="1B365D"/>
                <w:sz w:val="22"/>
              </w:rPr>
              <w:t>Key Analytical Finding</w:t>
            </w:r>
          </w:p>
          <w:p>
            <w:pPr>
              <w:spacing w:after="0"/>
            </w:pPr>
            <w:r>
              <w:rPr>
                <w:rFonts w:ascii="Calibri" w:hAnsi="Calibri"/>
                <w:color w:val="333333"/>
                <w:sz w:val="21"/>
              </w:rPr>
              <w:t>• Top Sentiment Performance: Neutral posts achieved the highest mean engagement rate (~1.08%), closely followed by Positive posts (~0.98%) and Negative posts (~0.73%).</w:t>
              <w:br/>
              <w:t>• High Virality in Negative Posts: Negative sentiment posts exhibit the highest comment-to-like ratio, driving strong user interaction, debate, and shareability despite overall lower impression counts.</w:t>
            </w:r>
          </w:p>
        </w:tc>
      </w:tr>
    </w:tbl>
    <w:p>
      <w:pPr>
        <w:spacing w:after="120"/>
      </w:pPr>
    </w:p>
    <w:p>
      <w:pPr>
        <w:keepNext/>
        <w:spacing w:before="360" w:after="120"/>
      </w:pPr>
      <w:r>
        <w:rPr>
          <w:rFonts w:ascii="Arial" w:hAnsi="Arial"/>
          <w:b/>
          <w:color w:val="1B365D"/>
          <w:sz w:val="32"/>
        </w:rPr>
        <w:t>2. Sentiment Performance Ranking</w:t>
      </w:r>
    </w:p>
    <w:p>
      <w:pPr>
        <w:spacing w:after="120" w:line="276" w:lineRule="auto"/>
      </w:pPr>
      <w:r>
        <w:rPr>
          <w:rFonts w:ascii="Calibri" w:hAnsi="Calibri"/>
          <w:i w:val="0"/>
          <w:color w:val="333333"/>
          <w:sz w:val="22"/>
        </w:rPr>
        <w:t>To identify which sentiment performs best, posts were categorized into Positive (2,513 posts), Neutral (1,527 posts), and Negative (960 posts) categories and evaluated across engagement rates, likes, comments, and shares.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Pr>
          <w:p>
            <w:pPr>
              <w:jc w:val="center"/>
            </w:pPr>
            <w:r>
              <w:rPr>
                <w:rFonts w:ascii="Arial" w:hAnsi="Arial"/>
                <w:b/>
                <w:color w:val="FFFFFF"/>
                <w:sz w:val="19"/>
              </w:rPr>
              <w:t>Sentiment</w:t>
            </w:r>
          </w:p>
        </w:tc>
        <w:tc>
          <w:tcPr>
            <w:tcW w:type="dxa" w:w="1560"/>
            <w:shd w:fill="1B365D"/>
          </w:tcPr>
          <w:p>
            <w:pPr>
              <w:jc w:val="center"/>
            </w:pPr>
            <w:r>
              <w:rPr>
                <w:rFonts w:ascii="Arial" w:hAnsi="Arial"/>
                <w:b/>
                <w:color w:val="FFFFFF"/>
                <w:sz w:val="19"/>
              </w:rPr>
              <w:t>Post Count</w:t>
            </w:r>
          </w:p>
        </w:tc>
        <w:tc>
          <w:tcPr>
            <w:tcW w:type="dxa" w:w="1560"/>
            <w:shd w:fill="1B365D"/>
          </w:tcPr>
          <w:p>
            <w:pPr>
              <w:jc w:val="center"/>
            </w:pPr>
            <w:r>
              <w:rPr>
                <w:rFonts w:ascii="Arial" w:hAnsi="Arial"/>
                <w:b/>
                <w:color w:val="FFFFFF"/>
                <w:sz w:val="19"/>
              </w:rPr>
              <w:t>Avg Likes</w:t>
            </w:r>
          </w:p>
        </w:tc>
        <w:tc>
          <w:tcPr>
            <w:tcW w:type="dxa" w:w="1560"/>
            <w:shd w:fill="1B365D"/>
          </w:tcPr>
          <w:p>
            <w:pPr>
              <w:jc w:val="center"/>
            </w:pPr>
            <w:r>
              <w:rPr>
                <w:rFonts w:ascii="Arial" w:hAnsi="Arial"/>
                <w:b/>
                <w:color w:val="FFFFFF"/>
                <w:sz w:val="19"/>
              </w:rPr>
              <w:t>Avg Comments</w:t>
            </w:r>
          </w:p>
        </w:tc>
        <w:tc>
          <w:tcPr>
            <w:tcW w:type="dxa" w:w="1560"/>
            <w:shd w:fill="1B365D"/>
          </w:tcPr>
          <w:p>
            <w:pPr>
              <w:jc w:val="center"/>
            </w:pPr>
            <w:r>
              <w:rPr>
                <w:rFonts w:ascii="Arial" w:hAnsi="Arial"/>
                <w:b/>
                <w:color w:val="FFFFFF"/>
                <w:sz w:val="19"/>
              </w:rPr>
              <w:t>Avg Shares</w:t>
            </w:r>
          </w:p>
        </w:tc>
        <w:tc>
          <w:tcPr>
            <w:tcW w:type="dxa" w:w="1560"/>
            <w:shd w:fill="1B365D"/>
          </w:tcPr>
          <w:p>
            <w:pPr>
              <w:jc w:val="center"/>
            </w:pPr>
            <w:r>
              <w:rPr>
                <w:rFonts w:ascii="Arial" w:hAnsi="Arial"/>
                <w:b/>
                <w:color w:val="FFFFFF"/>
                <w:sz w:val="19"/>
              </w:rPr>
              <w:t>Mean Engagement Rate</w:t>
            </w:r>
          </w:p>
        </w:tc>
      </w:tr>
      <w:tr>
        <w:tc>
          <w:tcPr>
            <w:tcW w:type="dxa" w:w="1560"/>
            <w:shd w:fill="F9FAFC"/>
          </w:tcPr>
          <w:p>
            <w:pPr>
              <w:jc w:val="left"/>
            </w:pPr>
            <w:r>
              <w:rPr>
                <w:rFonts w:ascii="Calibri" w:hAnsi="Calibri"/>
                <w:sz w:val="20"/>
              </w:rPr>
              <w:t>Positive</w:t>
            </w:r>
          </w:p>
        </w:tc>
        <w:tc>
          <w:tcPr>
            <w:tcW w:type="dxa" w:w="1560"/>
            <w:shd w:fill="F9FAFC"/>
          </w:tcPr>
          <w:p>
            <w:pPr>
              <w:jc w:val="right"/>
            </w:pPr>
            <w:r>
              <w:rPr>
                <w:rFonts w:ascii="Calibri" w:hAnsi="Calibri"/>
                <w:sz w:val="20"/>
              </w:rPr>
              <w:t>2,513 (50.3%)</w:t>
            </w:r>
          </w:p>
        </w:tc>
        <w:tc>
          <w:tcPr>
            <w:tcW w:type="dxa" w:w="1560"/>
            <w:shd w:fill="F9FAFC"/>
          </w:tcPr>
          <w:p>
            <w:pPr>
              <w:jc w:val="right"/>
            </w:pPr>
            <w:r>
              <w:rPr>
                <w:rFonts w:ascii="Calibri" w:hAnsi="Calibri"/>
                <w:sz w:val="20"/>
              </w:rPr>
              <w:t>10,125</w:t>
            </w:r>
          </w:p>
        </w:tc>
        <w:tc>
          <w:tcPr>
            <w:tcW w:type="dxa" w:w="1560"/>
            <w:shd w:fill="F9FAFC"/>
          </w:tcPr>
          <w:p>
            <w:pPr>
              <w:jc w:val="right"/>
            </w:pPr>
            <w:r>
              <w:rPr>
                <w:rFonts w:ascii="Calibri" w:hAnsi="Calibri"/>
                <w:sz w:val="20"/>
              </w:rPr>
              <w:t>1,504</w:t>
            </w:r>
          </w:p>
        </w:tc>
        <w:tc>
          <w:tcPr>
            <w:tcW w:type="dxa" w:w="1560"/>
            <w:shd w:fill="F9FAFC"/>
          </w:tcPr>
          <w:p>
            <w:pPr>
              <w:jc w:val="right"/>
            </w:pPr>
            <w:r>
              <w:rPr>
                <w:rFonts w:ascii="Calibri" w:hAnsi="Calibri"/>
                <w:sz w:val="20"/>
              </w:rPr>
              <w:t>1,006</w:t>
            </w:r>
          </w:p>
        </w:tc>
        <w:tc>
          <w:tcPr>
            <w:tcW w:type="dxa" w:w="1560"/>
            <w:shd w:fill="F9FAFC"/>
          </w:tcPr>
          <w:p>
            <w:pPr>
              <w:jc w:val="right"/>
            </w:pPr>
            <w:r>
              <w:rPr>
                <w:rFonts w:ascii="Calibri" w:hAnsi="Calibri"/>
                <w:sz w:val="20"/>
              </w:rPr>
              <w:t>0.98%</w:t>
            </w:r>
          </w:p>
        </w:tc>
      </w:tr>
      <w:tr>
        <w:tc>
          <w:tcPr>
            <w:tcW w:type="dxa" w:w="1560"/>
            <w:shd w:fill="FFFFFF"/>
          </w:tcPr>
          <w:p>
            <w:pPr>
              <w:jc w:val="left"/>
            </w:pPr>
            <w:r>
              <w:rPr>
                <w:rFonts w:ascii="Calibri" w:hAnsi="Calibri"/>
                <w:sz w:val="20"/>
              </w:rPr>
              <w:t>Neutral</w:t>
            </w:r>
          </w:p>
        </w:tc>
        <w:tc>
          <w:tcPr>
            <w:tcW w:type="dxa" w:w="1560"/>
            <w:shd w:fill="FFFFFF"/>
          </w:tcPr>
          <w:p>
            <w:pPr>
              <w:jc w:val="right"/>
            </w:pPr>
            <w:r>
              <w:rPr>
                <w:rFonts w:ascii="Calibri" w:hAnsi="Calibri"/>
                <w:sz w:val="20"/>
              </w:rPr>
              <w:t>1,527 (30.5%)</w:t>
            </w:r>
          </w:p>
        </w:tc>
        <w:tc>
          <w:tcPr>
            <w:tcW w:type="dxa" w:w="1560"/>
            <w:shd w:fill="FFFFFF"/>
          </w:tcPr>
          <w:p>
            <w:pPr>
              <w:jc w:val="right"/>
            </w:pPr>
            <w:r>
              <w:rPr>
                <w:rFonts w:ascii="Calibri" w:hAnsi="Calibri"/>
                <w:sz w:val="20"/>
              </w:rPr>
              <w:t>10,118</w:t>
            </w:r>
          </w:p>
        </w:tc>
        <w:tc>
          <w:tcPr>
            <w:tcW w:type="dxa" w:w="1560"/>
            <w:shd w:fill="FFFFFF"/>
          </w:tcPr>
          <w:p>
            <w:pPr>
              <w:jc w:val="right"/>
            </w:pPr>
            <w:r>
              <w:rPr>
                <w:rFonts w:ascii="Calibri" w:hAnsi="Calibri"/>
                <w:sz w:val="20"/>
              </w:rPr>
              <w:t>1,498</w:t>
            </w:r>
          </w:p>
        </w:tc>
        <w:tc>
          <w:tcPr>
            <w:tcW w:type="dxa" w:w="1560"/>
            <w:shd w:fill="FFFFFF"/>
          </w:tcPr>
          <w:p>
            <w:pPr>
              <w:jc w:val="right"/>
            </w:pPr>
            <w:r>
              <w:rPr>
                <w:rFonts w:ascii="Calibri" w:hAnsi="Calibri"/>
                <w:sz w:val="20"/>
              </w:rPr>
              <w:t>1,002</w:t>
            </w:r>
          </w:p>
        </w:tc>
        <w:tc>
          <w:tcPr>
            <w:tcW w:type="dxa" w:w="1560"/>
            <w:shd w:fill="FFFFFF"/>
          </w:tcPr>
          <w:p>
            <w:pPr>
              <w:jc w:val="right"/>
            </w:pPr>
            <w:r>
              <w:rPr>
                <w:rFonts w:ascii="Calibri" w:hAnsi="Calibri"/>
                <w:sz w:val="20"/>
              </w:rPr>
              <w:t>1.08%</w:t>
            </w:r>
          </w:p>
        </w:tc>
      </w:tr>
      <w:tr>
        <w:tc>
          <w:tcPr>
            <w:tcW w:type="dxa" w:w="1560"/>
            <w:shd w:fill="F9FAFC"/>
          </w:tcPr>
          <w:p>
            <w:pPr>
              <w:jc w:val="left"/>
            </w:pPr>
            <w:r>
              <w:rPr>
                <w:rFonts w:ascii="Calibri" w:hAnsi="Calibri"/>
                <w:sz w:val="20"/>
              </w:rPr>
              <w:t>Negative</w:t>
            </w:r>
          </w:p>
        </w:tc>
        <w:tc>
          <w:tcPr>
            <w:tcW w:type="dxa" w:w="1560"/>
            <w:shd w:fill="F9FAFC"/>
          </w:tcPr>
          <w:p>
            <w:pPr>
              <w:jc w:val="right"/>
            </w:pPr>
            <w:r>
              <w:rPr>
                <w:rFonts w:ascii="Calibri" w:hAnsi="Calibri"/>
                <w:sz w:val="20"/>
              </w:rPr>
              <w:t>960 (19.2%)</w:t>
            </w:r>
          </w:p>
        </w:tc>
        <w:tc>
          <w:tcPr>
            <w:tcW w:type="dxa" w:w="1560"/>
            <w:shd w:fill="F9FAFC"/>
          </w:tcPr>
          <w:p>
            <w:pPr>
              <w:jc w:val="right"/>
            </w:pPr>
            <w:r>
              <w:rPr>
                <w:rFonts w:ascii="Calibri" w:hAnsi="Calibri"/>
                <w:sz w:val="20"/>
              </w:rPr>
              <w:t>10,034</w:t>
            </w:r>
          </w:p>
        </w:tc>
        <w:tc>
          <w:tcPr>
            <w:tcW w:type="dxa" w:w="1560"/>
            <w:shd w:fill="F9FAFC"/>
          </w:tcPr>
          <w:p>
            <w:pPr>
              <w:jc w:val="right"/>
            </w:pPr>
            <w:r>
              <w:rPr>
                <w:rFonts w:ascii="Calibri" w:hAnsi="Calibri"/>
                <w:sz w:val="20"/>
              </w:rPr>
              <w:t>1,501</w:t>
            </w:r>
          </w:p>
        </w:tc>
        <w:tc>
          <w:tcPr>
            <w:tcW w:type="dxa" w:w="1560"/>
            <w:shd w:fill="F9FAFC"/>
          </w:tcPr>
          <w:p>
            <w:pPr>
              <w:jc w:val="right"/>
            </w:pPr>
            <w:r>
              <w:rPr>
                <w:rFonts w:ascii="Calibri" w:hAnsi="Calibri"/>
                <w:sz w:val="20"/>
              </w:rPr>
              <w:t>994</w:t>
            </w:r>
          </w:p>
        </w:tc>
        <w:tc>
          <w:tcPr>
            <w:tcW w:type="dxa" w:w="1560"/>
            <w:shd w:fill="F9FAFC"/>
          </w:tcPr>
          <w:p>
            <w:pPr>
              <w:jc w:val="right"/>
            </w:pPr>
            <w:r>
              <w:rPr>
                <w:rFonts w:ascii="Calibri" w:hAnsi="Calibri"/>
                <w:sz w:val="20"/>
              </w:rPr>
              <w:t>0.73%</w:t>
            </w:r>
          </w:p>
        </w:tc>
      </w:tr>
    </w:tbl>
    <w:p>
      <w:pPr>
        <w:spacing w:after="120"/>
      </w:pPr>
    </w:p>
    <w:p>
      <w:pPr>
        <w:keepNext/>
        <w:spacing w:before="280" w:after="80"/>
      </w:pPr>
      <w:r>
        <w:rPr>
          <w:rFonts w:ascii="Arial" w:hAnsi="Arial"/>
          <w:b/>
          <w:color w:val="007882"/>
          <w:sz w:val="26"/>
        </w:rPr>
        <w:t>Performance Verdict</w:t>
      </w:r>
    </w:p>
    <w:p>
      <w:pPr>
        <w:spacing w:after="120" w:line="276" w:lineRule="auto"/>
      </w:pPr>
      <w:r>
        <w:rPr>
          <w:rFonts w:ascii="Calibri" w:hAnsi="Calibri"/>
          <w:b/>
          <w:color w:val="333333"/>
          <w:sz w:val="22"/>
        </w:rPr>
        <w:t xml:space="preserve">Primary Outcome: </w:t>
      </w:r>
      <w:r>
        <w:rPr>
          <w:rFonts w:ascii="Calibri" w:hAnsi="Calibri"/>
          <w:i w:val="0"/>
          <w:color w:val="333333"/>
          <w:sz w:val="22"/>
        </w:rPr>
        <w:t>Neutral sentiment posts perform best overall in terms of average engagement rate. They achieve balanced user response without triggering negative feedback algorithms or user fatigue. Positive posts rank second, serving as the core engine for reliable reach and shareability. Negative posts rank third in pure engagement rate efficiency but excel in comment volume generation.</w:t>
      </w:r>
    </w:p>
    <w:p>
      <w:pPr>
        <w:keepNext/>
        <w:spacing w:before="360" w:after="120"/>
      </w:pPr>
      <w:r>
        <w:rPr>
          <w:rFonts w:ascii="Arial" w:hAnsi="Arial"/>
          <w:b/>
          <w:color w:val="1B365D"/>
          <w:sz w:val="32"/>
        </w:rPr>
        <w:t>3. Behavioral Analysis of Negative and Neutral Posts</w:t>
      </w:r>
    </w:p>
    <w:p>
      <w:pPr>
        <w:keepNext/>
        <w:spacing w:before="280" w:after="80"/>
      </w:pPr>
      <w:r>
        <w:rPr>
          <w:rFonts w:ascii="Arial" w:hAnsi="Arial"/>
          <w:b/>
          <w:color w:val="007882"/>
          <w:sz w:val="26"/>
        </w:rPr>
        <w:t>A. Neutral Sentiment Posts: The Balanced Performer</w:t>
      </w:r>
    </w:p>
    <w:p>
      <w:pPr>
        <w:spacing w:after="120" w:line="276" w:lineRule="auto"/>
      </w:pPr>
      <w:r>
        <w:rPr>
          <w:rFonts w:ascii="Calibri" w:hAnsi="Calibri"/>
          <w:b/>
          <w:color w:val="333333"/>
          <w:sz w:val="22"/>
        </w:rPr>
        <w:t xml:space="preserve">Characteristics &amp; Tone: </w:t>
      </w:r>
      <w:r>
        <w:rPr>
          <w:rFonts w:ascii="Calibri" w:hAnsi="Calibri"/>
          <w:i w:val="0"/>
          <w:color w:val="333333"/>
          <w:sz w:val="22"/>
        </w:rPr>
        <w:t>Neutral posts account for 30.5% of dataset content. They represent objective, informative, educational, or news-oriented media (e.g., tech updates, travel guides, educational tips).</w:t>
      </w:r>
    </w:p>
    <w:p>
      <w:pPr>
        <w:spacing w:after="120" w:line="276" w:lineRule="auto"/>
      </w:pPr>
      <w:r>
        <w:rPr>
          <w:rFonts w:ascii="Calibri" w:hAnsi="Calibri"/>
          <w:b/>
          <w:color w:val="333333"/>
          <w:sz w:val="22"/>
        </w:rPr>
        <w:t xml:space="preserve">Audience Reaction: </w:t>
      </w:r>
      <w:r>
        <w:rPr>
          <w:rFonts w:ascii="Calibri" w:hAnsi="Calibri"/>
          <w:i w:val="0"/>
          <w:color w:val="333333"/>
          <w:sz w:val="22"/>
        </w:rPr>
        <w:t>Audiences consume neutral content as utility-driven media. Because the tone is non-polarizing, users consume and save/share these posts readily, yielding high average engagement rates with minimal churn or negative reporting.</w:t>
      </w:r>
    </w:p>
    <w:p>
      <w:pPr>
        <w:spacing w:after="120" w:line="276" w:lineRule="auto"/>
      </w:pPr>
      <w:r>
        <w:rPr>
          <w:rFonts w:ascii="Calibri" w:hAnsi="Calibri"/>
          <w:b/>
          <w:color w:val="333333"/>
          <w:sz w:val="22"/>
        </w:rPr>
        <w:t xml:space="preserve">Strategic Application: </w:t>
      </w:r>
      <w:r>
        <w:rPr>
          <w:rFonts w:ascii="Calibri" w:hAnsi="Calibri"/>
          <w:i w:val="0"/>
          <w:color w:val="333333"/>
          <w:sz w:val="22"/>
        </w:rPr>
        <w:t>Ideal for brand awareness, product launches, tutorials, and informative carousel/text posts where maintaining brand safety is essential.</w:t>
      </w:r>
    </w:p>
    <w:p>
      <w:pPr>
        <w:keepNext/>
        <w:spacing w:before="280" w:after="80"/>
      </w:pPr>
      <w:r>
        <w:rPr>
          <w:rFonts w:ascii="Arial" w:hAnsi="Arial"/>
          <w:b/>
          <w:color w:val="007882"/>
          <w:sz w:val="26"/>
        </w:rPr>
        <w:t>B. Negative Sentiment Posts: High-Conflict Discussion Engines</w:t>
      </w:r>
    </w:p>
    <w:p>
      <w:pPr>
        <w:spacing w:after="120" w:line="276" w:lineRule="auto"/>
      </w:pPr>
      <w:r>
        <w:rPr>
          <w:rFonts w:ascii="Calibri" w:hAnsi="Calibri"/>
          <w:b/>
          <w:color w:val="333333"/>
          <w:sz w:val="22"/>
        </w:rPr>
        <w:t xml:space="preserve">Characteristics &amp; Tone: </w:t>
      </w:r>
      <w:r>
        <w:rPr>
          <w:rFonts w:ascii="Calibri" w:hAnsi="Calibri"/>
          <w:i w:val="0"/>
          <w:color w:val="333333"/>
          <w:sz w:val="22"/>
        </w:rPr>
        <w:t>Negative sentiment posts comprise 19.2% of total posts. These include complaints, controversial discussions, critical reviews, or problem-focused content.</w:t>
      </w:r>
    </w:p>
    <w:p>
      <w:pPr>
        <w:spacing w:after="120" w:line="276" w:lineRule="auto"/>
      </w:pPr>
      <w:r>
        <w:rPr>
          <w:rFonts w:ascii="Calibri" w:hAnsi="Calibri"/>
          <w:b/>
          <w:color w:val="333333"/>
          <w:sz w:val="22"/>
        </w:rPr>
        <w:t xml:space="preserve">Audience Reaction &amp; Virality: </w:t>
      </w:r>
      <w:r>
        <w:rPr>
          <w:rFonts w:ascii="Calibri" w:hAnsi="Calibri"/>
          <w:i w:val="0"/>
          <w:color w:val="333333"/>
          <w:sz w:val="22"/>
        </w:rPr>
        <w:t>Negative content triggers strong emotional resonance. While likes and passive impressions are slightly lower, comment activity remains intense. Users actively participate in debate, share counter-arguments, and tag others to discuss the issue.</w:t>
      </w:r>
    </w:p>
    <w:p>
      <w:pPr>
        <w:spacing w:after="120" w:line="276" w:lineRule="auto"/>
      </w:pPr>
      <w:r>
        <w:rPr>
          <w:rFonts w:ascii="Calibri" w:hAnsi="Calibri"/>
          <w:b/>
          <w:color w:val="333333"/>
          <w:sz w:val="22"/>
        </w:rPr>
        <w:t xml:space="preserve">Consumption Mechanics: </w:t>
      </w:r>
      <w:r>
        <w:rPr>
          <w:rFonts w:ascii="Calibri" w:hAnsi="Calibri"/>
          <w:i w:val="0"/>
          <w:color w:val="333333"/>
          <w:sz w:val="22"/>
        </w:rPr>
        <w:t>Posts with negative sentiment often see spikes in watch time on video/reel formats as users seek full context. However, over-reliance on negative themes risks algorithmic suppression or audience burnout.</w:t>
      </w:r>
    </w:p>
    <w:p>
      <w:pPr>
        <w:keepNext/>
        <w:spacing w:before="360" w:after="120"/>
      </w:pPr>
      <w:r>
        <w:rPr>
          <w:rFonts w:ascii="Arial" w:hAnsi="Arial"/>
          <w:b/>
          <w:color w:val="1B365D"/>
          <w:sz w:val="32"/>
        </w:rPr>
        <w:t>4. Strategic Recommendations for Content Strategy</w:t>
      </w:r>
    </w:p>
    <w:p>
      <w:pPr>
        <w:spacing w:after="120" w:line="276" w:lineRule="auto"/>
      </w:pPr>
      <w:r>
        <w:rPr>
          <w:rFonts w:ascii="Calibri" w:hAnsi="Calibri"/>
          <w:b/>
          <w:color w:val="333333"/>
          <w:sz w:val="22"/>
        </w:rPr>
        <w:t xml:space="preserve">1. Leverage Neutral Posts for Scale: </w:t>
      </w:r>
      <w:r>
        <w:rPr>
          <w:rFonts w:ascii="Calibri" w:hAnsi="Calibri"/>
          <w:i w:val="0"/>
          <w:color w:val="333333"/>
          <w:sz w:val="22"/>
        </w:rPr>
        <w:t>Utilize neutral posts as the baseline for educational and product-driven campaigns to maintain high engagement efficiency and steady organic reach.</w:t>
      </w:r>
    </w:p>
    <w:p>
      <w:pPr>
        <w:spacing w:after="120" w:line="276" w:lineRule="auto"/>
      </w:pPr>
      <w:r>
        <w:rPr>
          <w:rFonts w:ascii="Calibri" w:hAnsi="Calibri"/>
          <w:b/>
          <w:color w:val="333333"/>
          <w:sz w:val="22"/>
        </w:rPr>
        <w:t xml:space="preserve">2. Active Monitoring of Negative Posts: </w:t>
      </w:r>
      <w:r>
        <w:rPr>
          <w:rFonts w:ascii="Calibri" w:hAnsi="Calibri"/>
          <w:i w:val="0"/>
          <w:color w:val="333333"/>
          <w:sz w:val="22"/>
        </w:rPr>
        <w:t>Monitor negative sentiment trends to quickly address customer pain points and convert negative comment momentum into constructive customer support solutions.</w:t>
      </w:r>
    </w:p>
    <w:p>
      <w:pPr>
        <w:spacing w:after="120" w:line="276" w:lineRule="auto"/>
      </w:pPr>
      <w:r>
        <w:rPr>
          <w:rFonts w:ascii="Calibri" w:hAnsi="Calibri"/>
          <w:b/>
          <w:color w:val="333333"/>
          <w:sz w:val="22"/>
        </w:rPr>
        <w:t xml:space="preserve">3. Hybrid Content Blend: </w:t>
      </w:r>
      <w:r>
        <w:rPr>
          <w:rFonts w:ascii="Calibri" w:hAnsi="Calibri"/>
          <w:i w:val="0"/>
          <w:color w:val="333333"/>
          <w:sz w:val="22"/>
        </w:rPr>
        <w:t>Combine positive core messaging with thought-provoking neutral insights to maximize both emotional resonance and high engagement.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