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jc w:val="center"/>
      </w:pPr>
      <w:r>
        <w:rPr>
          <w:rFonts w:ascii="Arial" w:cs="Arial" w:eastAsia="Arial" w:hAnsi="Arial"/>
          <w:b/>
          <w:bCs/>
          <w:color w:val="1B3A6B"/>
          <w:sz w:val="80"/>
          <w:szCs w:val="80"/>
        </w:rPr>
        <w:t xml:space="preserve">PROVA</w:t>
      </w:r>
    </w:p>
    <w:p>
      <w:pPr>
        <w:spacing w:after="60" w:before="0"/>
        <w:jc w:val="center"/>
      </w:pPr>
      <w:r>
        <w:rPr>
          <w:rFonts w:ascii="Arial" w:cs="Arial" w:eastAsia="Arial" w:hAnsi="Arial"/>
          <w:b/>
          <w:bCs/>
          <w:color w:val="2563EB"/>
          <w:sz w:val="40"/>
          <w:szCs w:val="40"/>
        </w:rPr>
        <w:t xml:space="preserve">End-to-End Golden Thread Traceability</w:t>
      </w:r>
    </w:p>
    <w:p>
      <w:pPr>
        <w:spacing w:after="300" w:before="0"/>
        <w:jc w:val="center"/>
      </w:pPr>
      <w:r>
        <w:rPr>
          <w:rFonts w:ascii="Arial" w:cs="Arial" w:eastAsia="Arial" w:hAnsi="Arial"/>
          <w:color w:val="475569"/>
          <w:sz w:val="26"/>
          <w:szCs w:val="26"/>
        </w:rPr>
        <w:t xml:space="preserve">From the First Design Pixel to the Final Production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F1F5F9" w:val="clear"/>
            <w:tcMar>
              <w:top w:type="dxa" w:w="200"/>
              <w:left w:type="dxa" w:w="320"/>
              <w:bottom w:type="dxa" w:w="200"/>
              <w:right w:type="dxa" w:w="320"/>
            </w:tcMar>
          </w:tcPr>
          <w:p>
            <w:pPr>
              <w:spacing w:after="100" w:before="0"/>
              <w:jc w:val="center"/>
            </w:pPr>
            <w:r>
              <w:rPr>
                <w:rFonts w:ascii="Arial" w:cs="Arial" w:eastAsia="Arial" w:hAnsi="Arial"/>
                <w:b/>
                <w:bCs/>
                <w:color w:val="1B3A6B"/>
                <w:sz w:val="22"/>
                <w:szCs w:val="22"/>
              </w:rPr>
              <w:t xml:space="preserve">THE PROVA PROMISE</w:t>
            </w:r>
          </w:p>
          <w:p>
            <w:pPr>
              <w:spacing w:after="40" w:before="0"/>
              <w:jc w:val="center"/>
            </w:pPr>
            <w:r>
              <w:rPr>
                <w:rFonts w:ascii="Arial" w:cs="Arial" w:eastAsia="Arial" w:hAnsi="Arial"/>
                <w:i/>
                <w:iCs/>
                <w:color w:val="0F172A"/>
                <w:sz w:val="20"/>
                <w:szCs w:val="20"/>
              </w:rPr>
              <w:t xml:space="preserve">"What you design is exactly what gets built, exactly what gets tested,</w:t>
            </w:r>
          </w:p>
          <w:p>
            <w:pPr>
              <w:spacing w:after="0" w:before="0"/>
              <w:jc w:val="center"/>
            </w:pPr>
            <w:r>
              <w:rPr>
                <w:rFonts w:ascii="Arial" w:cs="Arial" w:eastAsia="Arial" w:hAnsi="Arial"/>
                <w:i/>
                <w:iCs/>
                <w:color w:val="0F172A"/>
                <w:sz w:val="20"/>
                <w:szCs w:val="20"/>
              </w:rPr>
              <w:t xml:space="preserve">and exactly what ships to production. Every step — traceable, verifiable, immutable."</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Why End-to-End Traceability Is the Most Critical Feature</w:t>
      </w:r>
    </w:p>
    <w:p>
      <w:pPr>
        <w:spacing w:after="80" w:before="60"/>
      </w:pPr>
      <w:r>
        <w:rPr>
          <w:rFonts w:ascii="Arial" w:cs="Arial" w:eastAsia="Arial" w:hAnsi="Arial"/>
          <w:color w:val="0F172A"/>
          <w:sz w:val="22"/>
          <w:szCs w:val="22"/>
        </w:rPr>
        <w:t xml:space="preserve">Every quality failure in software can be traced to one of three disconnects: something was designed but not specified correctly, something was specified but not implemented correctly, or something was implemented but not tested correctly. PROVA eliminates all three by maintaining an unbroken, automatically verified chain of evidence from the moment a designer saves the first screen to the moment a QE lead approves the release.</w:t>
      </w:r>
    </w:p>
    <w:p>
      <w:pPr>
        <w:spacing w:after="0" w:before="120"/>
      </w:pPr>
      <w:r>
        <w:t xml:space="preserve"/>
      </w:r>
    </w:p>
    <w:p>
      <w:pPr>
        <w:spacing w:after="80" w:before="60"/>
      </w:pPr>
      <w:r>
        <w:rPr>
          <w:rFonts w:ascii="Arial" w:cs="Arial" w:eastAsia="Arial" w:hAnsi="Arial"/>
          <w:color w:val="0F172A"/>
          <w:sz w:val="22"/>
          <w:szCs w:val="22"/>
        </w:rPr>
        <w:t xml:space="preserve">This is not a reporting feature. It is a structural guarantee. Every artifact in the chain is linked, versioned, and cross-verified. If any link in the chain breaks — a design changes without a corresponding test update, a code change contradicts a JIRA spec, a test passes but the UI does not match the prototype — PROVA detects it automatically and blocks the release.</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What No Other Tool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Traceability Scope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JIRA / TestRail</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Links requirements to test cases only. No design, no code, no prototype. Requires manual maintenance.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ACCELQ</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Bi-directional traceability between test scenarios and JIRA user stories. Starts at JIRA — no design or code traceability.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Azure DevOps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Links work items to commits and test results. No design tool integration. No prototype comparison.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Tricentis Tosca</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Requirements to test execution traceability. No design source. No prototype-to-production match score.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PROVA</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UI Design → FRD/JIRA Spec → Prototype Run → Code Implementation → Sample Data Testing → Real App Run → QE Approval → Production. All 7 stages linked, auto-verified, versioned, and immutable.</w:t>
            </w:r>
          </w:p>
        </w:tc>
      </w:tr>
    </w:tbl>
    <w:p>
      <w:pPr>
        <w:spacing w:after="0" w:before="120"/>
      </w:pPr>
      <w:r>
        <w:t xml:space="preserve"/>
      </w:r>
    </w:p>
    <w:p>
      <w:pPr>
        <w:spacing w:after="80" w:before="60"/>
      </w:pPr>
      <w:r>
        <w:rPr>
          <w:rFonts w:ascii="Arial" w:cs="Arial" w:eastAsia="Arial" w:hAnsi="Arial"/>
          <w:color w:val="0F172A"/>
          <w:sz w:val="22"/>
          <w:szCs w:val="22"/>
        </w:rPr>
        <w:t xml:space="preserve">ACCELQ describes its traceability as "bi-directional between test cases and user stories." PROVA's traceability is seven-directional — forward and backward across every stage of the entire software delivery lifecycle. This is not an incremental improvement. It is a fundamentally different concept.</w:t>
      </w:r>
    </w:p>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The 7-Stage Golden Thread</w:t>
      </w:r>
    </w:p>
    <w:p>
      <w:pPr>
        <w:spacing w:after="80" w:before="60"/>
      </w:pPr>
      <w:r>
        <w:rPr>
          <w:rFonts w:ascii="Arial" w:cs="Arial" w:eastAsia="Arial" w:hAnsi="Arial"/>
          <w:color w:val="0F172A"/>
          <w:sz w:val="22"/>
          <w:szCs w:val="22"/>
        </w:rPr>
        <w:t xml:space="preserve">PROVA calls this the Golden Thread — a single continuous chain of verified evidence running through every stage of software delivery. Every node in the chain carries a unique identifier, a version, a timestamp, a source reference, and a cryptographic hash. Nothing can be altered without PROVA detecting the change.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7C3AED" w:sz="4"/>
              <w:left w:val="single" w:color="7C3AED" w:sz="4"/>
              <w:bottom w:val="single" w:color="7C3AED" w:sz="4"/>
              <w:right w:val="single" w:color="7C3AED" w:sz="4"/>
            </w:tcBorders>
            <w:shd w:fill="7C3AED"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01</w:t>
            </w:r>
          </w:p>
        </w:tc>
        <w:tc>
          <w:tcPr>
            <w:tcW w:type="dxa" w:w="2400"/>
            <w:tcBorders>
              <w:top w:val="single" w:color="7C3AED" w:sz="4"/>
              <w:left w:val="single" w:color="7C3AED" w:sz="4"/>
              <w:bottom w:val="single" w:color="7C3AED" w:sz="4"/>
              <w:right w:val="single" w:color="7C3AED" w:sz="4"/>
            </w:tcBorders>
            <w:shd w:fill="F1F5F9" w:val="clear"/>
            <w:tcMar>
              <w:top w:type="dxa" w:w="80"/>
              <w:left w:type="dxa" w:w="160"/>
              <w:bottom w:type="dxa" w:w="80"/>
              <w:right w:type="dxa" w:w="160"/>
            </w:tcMar>
          </w:tcPr>
          <w:p>
            <w:pPr>
              <w:spacing w:after="30" w:before="0"/>
            </w:pPr>
            <w:r>
              <w:rPr>
                <w:rFonts w:ascii="Arial" w:cs="Arial" w:eastAsia="Arial" w:hAnsi="Arial"/>
                <w:b/>
                <w:bCs/>
                <w:color w:val="7C3AED"/>
                <w:sz w:val="20"/>
                <w:szCs w:val="20"/>
              </w:rPr>
              <w:t xml:space="preserve">UI Design Screen</w:t>
            </w:r>
          </w:p>
          <w:p>
            <w:pPr>
              <w:spacing w:after="0" w:before="0"/>
            </w:pPr>
            <w:r>
              <w:rPr>
                <w:rFonts w:ascii="Arial" w:cs="Arial" w:eastAsia="Arial" w:hAnsi="Arial"/>
                <w:i/>
                <w:iCs/>
                <w:color w:val="475569"/>
                <w:sz w:val="17"/>
                <w:szCs w:val="17"/>
              </w:rPr>
              <w:t xml:space="preserve">Figma / Any Tool</w:t>
            </w:r>
          </w:p>
        </w:tc>
        <w:tc>
          <w:tcPr>
            <w:tcW w:type="dxa" w:w="6360"/>
            <w:tcBorders>
              <w:top w:val="single" w:color="7C3AED" w:sz="4"/>
              <w:left w:val="single" w:color="7C3AED" w:sz="4"/>
              <w:bottom w:val="single" w:color="7C3AED" w:sz="4"/>
              <w:right w:val="single" w:color="7C3AED"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Designer approves. Version locked. Webhook fires.</w:t>
            </w:r>
          </w:p>
        </w:tc>
      </w:tr>
      <w:tr>
        <w:tc>
          <w:tcPr>
            <w:tcW w:type="dxa" w:w="600"/>
            <w:tcBorders>
              <w:top w:val="single" w:color="2563EB" w:sz="4"/>
              <w:left w:val="single" w:color="2563EB" w:sz="4"/>
              <w:bottom w:val="single" w:color="2563EB" w:sz="4"/>
              <w:right w:val="single" w:color="2563EB" w:sz="4"/>
            </w:tcBorders>
            <w:shd w:fill="2563E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02</w:t>
            </w:r>
          </w:p>
        </w:tc>
        <w:tc>
          <w:tcPr>
            <w:tcW w:type="dxa" w:w="2400"/>
            <w:tcBorders>
              <w:top w:val="single" w:color="2563EB" w:sz="4"/>
              <w:left w:val="single" w:color="2563EB" w:sz="4"/>
              <w:bottom w:val="single" w:color="2563EB" w:sz="4"/>
              <w:right w:val="single" w:color="2563EB" w:sz="4"/>
            </w:tcBorders>
            <w:shd w:fill="F1F5F9" w:val="clear"/>
            <w:tcMar>
              <w:top w:type="dxa" w:w="80"/>
              <w:left w:type="dxa" w:w="160"/>
              <w:bottom w:type="dxa" w:w="80"/>
              <w:right w:type="dxa" w:w="160"/>
            </w:tcMar>
          </w:tcPr>
          <w:p>
            <w:pPr>
              <w:spacing w:after="30" w:before="0"/>
            </w:pPr>
            <w:r>
              <w:rPr>
                <w:rFonts w:ascii="Arial" w:cs="Arial" w:eastAsia="Arial" w:hAnsi="Arial"/>
                <w:b/>
                <w:bCs/>
                <w:color w:val="2563EB"/>
                <w:sz w:val="20"/>
                <w:szCs w:val="20"/>
              </w:rPr>
              <w:t xml:space="preserve">FRD / Business Spec</w:t>
            </w:r>
          </w:p>
          <w:p>
            <w:pPr>
              <w:spacing w:after="0" w:before="0"/>
            </w:pPr>
            <w:r>
              <w:rPr>
                <w:rFonts w:ascii="Arial" w:cs="Arial" w:eastAsia="Arial" w:hAnsi="Arial"/>
                <w:i/>
                <w:iCs/>
                <w:color w:val="475569"/>
                <w:sz w:val="17"/>
                <w:szCs w:val="17"/>
              </w:rPr>
              <w:t xml:space="preserve">JIRA / Confluence</w:t>
            </w:r>
          </w:p>
        </w:tc>
        <w:tc>
          <w:tcPr>
            <w:tcW w:type="dxa" w:w="6360"/>
            <w:tcBorders>
              <w:top w:val="single" w:color="2563EB" w:sz="4"/>
              <w:left w:val="single" w:color="2563EB" w:sz="4"/>
              <w:bottom w:val="single" w:color="2563EB" w:sz="4"/>
              <w:right w:val="single" w:color="2563EB"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Acceptance criteria extracted. REQ-IDs assigned.</w:t>
            </w:r>
          </w:p>
        </w:tc>
      </w:tr>
      <w:tr>
        <w:tc>
          <w:tcPr>
            <w:tcW w:type="dxa" w:w="600"/>
            <w:tcBorders>
              <w:top w:val="single" w:color="0D9488" w:sz="4"/>
              <w:left w:val="single" w:color="0D9488" w:sz="4"/>
              <w:bottom w:val="single" w:color="0D9488" w:sz="4"/>
              <w:right w:val="single" w:color="0D9488" w:sz="4"/>
            </w:tcBorders>
            <w:shd w:fill="0D9488"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03</w:t>
            </w:r>
          </w:p>
        </w:tc>
        <w:tc>
          <w:tcPr>
            <w:tcW w:type="dxa" w:w="2400"/>
            <w:tcBorders>
              <w:top w:val="single" w:color="0D9488" w:sz="4"/>
              <w:left w:val="single" w:color="0D9488" w:sz="4"/>
              <w:bottom w:val="single" w:color="0D9488" w:sz="4"/>
              <w:right w:val="single" w:color="0D9488" w:sz="4"/>
            </w:tcBorders>
            <w:shd w:fill="F1F5F9" w:val="clear"/>
            <w:tcMar>
              <w:top w:type="dxa" w:w="80"/>
              <w:left w:type="dxa" w:w="160"/>
              <w:bottom w:type="dxa" w:w="80"/>
              <w:right w:type="dxa" w:w="160"/>
            </w:tcMar>
          </w:tcPr>
          <w:p>
            <w:pPr>
              <w:spacing w:after="30" w:before="0"/>
            </w:pPr>
            <w:r>
              <w:rPr>
                <w:rFonts w:ascii="Arial" w:cs="Arial" w:eastAsia="Arial" w:hAnsi="Arial"/>
                <w:b/>
                <w:bCs/>
                <w:color w:val="0D9488"/>
                <w:sz w:val="20"/>
                <w:szCs w:val="20"/>
              </w:rPr>
              <w:t xml:space="preserve">Prototype Pilot Run</w:t>
            </w:r>
          </w:p>
          <w:p>
            <w:pPr>
              <w:spacing w:after="0" w:before="0"/>
            </w:pPr>
            <w:r>
              <w:rPr>
                <w:rFonts w:ascii="Arial" w:cs="Arial" w:eastAsia="Arial" w:hAnsi="Arial"/>
                <w:i/>
                <w:iCs/>
                <w:color w:val="475569"/>
                <w:sz w:val="17"/>
                <w:szCs w:val="17"/>
              </w:rPr>
              <w:t xml:space="preserve">PROVA Simulation</w:t>
            </w:r>
          </w:p>
        </w:tc>
        <w:tc>
          <w:tcPr>
            <w:tcW w:type="dxa" w:w="6360"/>
            <w:tcBorders>
              <w:top w:val="single" w:color="0D9488" w:sz="4"/>
              <w:left w:val="single" w:color="0D9488" w:sz="4"/>
              <w:bottom w:val="single" w:color="0D9488" w:sz="4"/>
              <w:right w:val="single" w:color="0D9488"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Imaginary flow run. Fingerprint baseline captured.</w:t>
            </w:r>
          </w:p>
        </w:tc>
      </w:tr>
      <w:tr>
        <w:tc>
          <w:tcPr>
            <w:tcW w:type="dxa" w:w="6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04</w:t>
            </w:r>
          </w:p>
        </w:tc>
        <w:tc>
          <w:tcPr>
            <w:tcW w:type="dxa" w:w="2400"/>
            <w:tcBorders>
              <w:top w:val="single" w:color="1B3A6B" w:sz="4"/>
              <w:left w:val="single" w:color="1B3A6B" w:sz="4"/>
              <w:bottom w:val="single" w:color="1B3A6B" w:sz="4"/>
              <w:right w:val="single" w:color="1B3A6B" w:sz="4"/>
            </w:tcBorders>
            <w:shd w:fill="F1F5F9" w:val="clear"/>
            <w:tcMar>
              <w:top w:type="dxa" w:w="80"/>
              <w:left w:type="dxa" w:w="160"/>
              <w:bottom w:type="dxa" w:w="80"/>
              <w:right w:type="dxa" w:w="160"/>
            </w:tcMar>
          </w:tcPr>
          <w:p>
            <w:pPr>
              <w:spacing w:after="30" w:before="0"/>
            </w:pPr>
            <w:r>
              <w:rPr>
                <w:rFonts w:ascii="Arial" w:cs="Arial" w:eastAsia="Arial" w:hAnsi="Arial"/>
                <w:b/>
                <w:bCs/>
                <w:color w:val="1B3A6B"/>
                <w:sz w:val="20"/>
                <w:szCs w:val="20"/>
              </w:rPr>
              <w:t xml:space="preserve">Code Implementation</w:t>
            </w:r>
          </w:p>
          <w:p>
            <w:pPr>
              <w:spacing w:after="0" w:before="0"/>
            </w:pPr>
            <w:r>
              <w:rPr>
                <w:rFonts w:ascii="Arial" w:cs="Arial" w:eastAsia="Arial" w:hAnsi="Arial"/>
                <w:i/>
                <w:iCs/>
                <w:color w:val="475569"/>
                <w:sz w:val="17"/>
                <w:szCs w:val="17"/>
              </w:rPr>
              <w:t xml:space="preserve">GitHub Enterprise</w:t>
            </w:r>
          </w:p>
        </w:tc>
        <w:tc>
          <w:tcPr>
            <w:tcW w:type="dxa" w:w="6360"/>
            <w:tcBorders>
              <w:top w:val="single" w:color="1B3A6B" w:sz="4"/>
              <w:left w:val="single" w:color="1B3A6B" w:sz="4"/>
              <w:bottom w:val="single" w:color="1B3A6B" w:sz="4"/>
              <w:right w:val="single" w:color="1B3A6B"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Rules extracted from code. PR checked vs spec.</w:t>
            </w:r>
          </w:p>
        </w:tc>
      </w:tr>
      <w:tr>
        <w:tc>
          <w:tcPr>
            <w:tcW w:type="dxa" w:w="600"/>
            <w:tcBorders>
              <w:top w:val="single" w:color="F59E0B" w:sz="4"/>
              <w:left w:val="single" w:color="F59E0B" w:sz="4"/>
              <w:bottom w:val="single" w:color="F59E0B" w:sz="4"/>
              <w:right w:val="single" w:color="F59E0B" w:sz="4"/>
            </w:tcBorders>
            <w:shd w:fill="F59E0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05</w:t>
            </w:r>
          </w:p>
        </w:tc>
        <w:tc>
          <w:tcPr>
            <w:tcW w:type="dxa" w:w="2400"/>
            <w:tcBorders>
              <w:top w:val="single" w:color="F59E0B" w:sz="4"/>
              <w:left w:val="single" w:color="F59E0B" w:sz="4"/>
              <w:bottom w:val="single" w:color="F59E0B" w:sz="4"/>
              <w:right w:val="single" w:color="F59E0B" w:sz="4"/>
            </w:tcBorders>
            <w:shd w:fill="F1F5F9" w:val="clear"/>
            <w:tcMar>
              <w:top w:type="dxa" w:w="80"/>
              <w:left w:type="dxa" w:w="160"/>
              <w:bottom w:type="dxa" w:w="80"/>
              <w:right w:type="dxa" w:w="160"/>
            </w:tcMar>
          </w:tcPr>
          <w:p>
            <w:pPr>
              <w:spacing w:after="30" w:before="0"/>
            </w:pPr>
            <w:r>
              <w:rPr>
                <w:rFonts w:ascii="Arial" w:cs="Arial" w:eastAsia="Arial" w:hAnsi="Arial"/>
                <w:b/>
                <w:bCs/>
                <w:color w:val="F59E0B"/>
                <w:sz w:val="20"/>
                <w:szCs w:val="20"/>
              </w:rPr>
              <w:t xml:space="preserve">Sample Data Testing</w:t>
            </w:r>
          </w:p>
          <w:p>
            <w:pPr>
              <w:spacing w:after="0" w:before="0"/>
            </w:pPr>
            <w:r>
              <w:rPr>
                <w:rFonts w:ascii="Arial" w:cs="Arial" w:eastAsia="Arial" w:hAnsi="Arial"/>
                <w:i/>
                <w:iCs/>
                <w:color w:val="475569"/>
                <w:sz w:val="17"/>
                <w:szCs w:val="17"/>
              </w:rPr>
              <w:t xml:space="preserve">PROVA Data Factory</w:t>
            </w:r>
          </w:p>
        </w:tc>
        <w:tc>
          <w:tcPr>
            <w:tcW w:type="dxa" w:w="6360"/>
            <w:tcBorders>
              <w:top w:val="single" w:color="F59E0B" w:sz="4"/>
              <w:left w:val="single" w:color="F59E0B" w:sz="4"/>
              <w:bottom w:val="single" w:color="F59E0B" w:sz="4"/>
              <w:right w:val="single" w:color="F59E0B"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Prod-cloned anonymized data. Synthetic edge cases.</w:t>
            </w:r>
          </w:p>
        </w:tc>
      </w:tr>
      <w:tr>
        <w:tc>
          <w:tcPr>
            <w:tcW w:type="dxa" w:w="600"/>
            <w:tcBorders>
              <w:top w:val="single" w:color="10B981" w:sz="4"/>
              <w:left w:val="single" w:color="10B981" w:sz="4"/>
              <w:bottom w:val="single" w:color="10B981" w:sz="4"/>
              <w:right w:val="single" w:color="10B981" w:sz="4"/>
            </w:tcBorders>
            <w:shd w:fill="10B981"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06</w:t>
            </w:r>
          </w:p>
        </w:tc>
        <w:tc>
          <w:tcPr>
            <w:tcW w:type="dxa" w:w="2400"/>
            <w:tcBorders>
              <w:top w:val="single" w:color="10B981" w:sz="4"/>
              <w:left w:val="single" w:color="10B981" w:sz="4"/>
              <w:bottom w:val="single" w:color="10B981" w:sz="4"/>
              <w:right w:val="single" w:color="10B981" w:sz="4"/>
            </w:tcBorders>
            <w:shd w:fill="F1F5F9" w:val="clear"/>
            <w:tcMar>
              <w:top w:type="dxa" w:w="80"/>
              <w:left w:type="dxa" w:w="160"/>
              <w:bottom w:type="dxa" w:w="80"/>
              <w:right w:type="dxa" w:w="160"/>
            </w:tcMar>
          </w:tcPr>
          <w:p>
            <w:pPr>
              <w:spacing w:after="30" w:before="0"/>
            </w:pPr>
            <w:r>
              <w:rPr>
                <w:rFonts w:ascii="Arial" w:cs="Arial" w:eastAsia="Arial" w:hAnsi="Arial"/>
                <w:b/>
                <w:bCs/>
                <w:color w:val="10B981"/>
                <w:sz w:val="20"/>
                <w:szCs w:val="20"/>
              </w:rPr>
              <w:t xml:space="preserve">Real Application Run</w:t>
            </w:r>
          </w:p>
          <w:p>
            <w:pPr>
              <w:spacing w:after="0" w:before="0"/>
            </w:pPr>
            <w:r>
              <w:rPr>
                <w:rFonts w:ascii="Arial" w:cs="Arial" w:eastAsia="Arial" w:hAnsi="Arial"/>
                <w:i/>
                <w:iCs/>
                <w:color w:val="475569"/>
                <w:sz w:val="17"/>
                <w:szCs w:val="17"/>
              </w:rPr>
              <w:t xml:space="preserve">PROVA Execution</w:t>
            </w:r>
          </w:p>
        </w:tc>
        <w:tc>
          <w:tcPr>
            <w:tcW w:type="dxa" w:w="6360"/>
            <w:tcBorders>
              <w:top w:val="single" w:color="10B981" w:sz="4"/>
              <w:left w:val="single" w:color="10B981" w:sz="4"/>
              <w:bottom w:val="single" w:color="10B981" w:sz="4"/>
              <w:right w:val="single" w:color="10B981"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Full flow on real app. Match score calculated.</w:t>
            </w:r>
          </w:p>
        </w:tc>
      </w:tr>
      <w:tr>
        <w:tc>
          <w:tcPr>
            <w:tcW w:type="dxa" w:w="600"/>
            <w:tcBorders>
              <w:top w:val="single" w:color="EF4444" w:sz="4"/>
              <w:left w:val="single" w:color="EF4444" w:sz="4"/>
              <w:bottom w:val="single" w:color="EF4444" w:sz="4"/>
              <w:right w:val="single" w:color="EF4444" w:sz="4"/>
            </w:tcBorders>
            <w:shd w:fill="EF4444"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07</w:t>
            </w:r>
          </w:p>
        </w:tc>
        <w:tc>
          <w:tcPr>
            <w:tcW w:type="dxa" w:w="2400"/>
            <w:tcBorders>
              <w:top w:val="single" w:color="EF4444" w:sz="4"/>
              <w:left w:val="single" w:color="EF4444" w:sz="4"/>
              <w:bottom w:val="single" w:color="EF4444" w:sz="4"/>
              <w:right w:val="single" w:color="EF4444" w:sz="4"/>
            </w:tcBorders>
            <w:shd w:fill="F1F5F9" w:val="clear"/>
            <w:tcMar>
              <w:top w:type="dxa" w:w="80"/>
              <w:left w:type="dxa" w:w="160"/>
              <w:bottom w:type="dxa" w:w="80"/>
              <w:right w:type="dxa" w:w="160"/>
            </w:tcMar>
          </w:tcPr>
          <w:p>
            <w:pPr>
              <w:spacing w:after="30" w:before="0"/>
            </w:pPr>
            <w:r>
              <w:rPr>
                <w:rFonts w:ascii="Arial" w:cs="Arial" w:eastAsia="Arial" w:hAnsi="Arial"/>
                <w:b/>
                <w:bCs/>
                <w:color w:val="EF4444"/>
                <w:sz w:val="20"/>
                <w:szCs w:val="20"/>
              </w:rPr>
              <w:t xml:space="preserve">QE Approval &amp; Release</w:t>
            </w:r>
          </w:p>
          <w:p>
            <w:pPr>
              <w:spacing w:after="0" w:before="0"/>
            </w:pPr>
            <w:r>
              <w:rPr>
                <w:rFonts w:ascii="Arial" w:cs="Arial" w:eastAsia="Arial" w:hAnsi="Arial"/>
                <w:i/>
                <w:iCs/>
                <w:color w:val="475569"/>
                <w:sz w:val="17"/>
                <w:szCs w:val="17"/>
              </w:rPr>
              <w:t xml:space="preserve">PROVA Gate</w:t>
            </w:r>
          </w:p>
        </w:tc>
        <w:tc>
          <w:tcPr>
            <w:tcW w:type="dxa" w:w="6360"/>
            <w:tcBorders>
              <w:top w:val="single" w:color="EF4444" w:sz="4"/>
              <w:left w:val="single" w:color="EF4444" w:sz="4"/>
              <w:bottom w:val="single" w:color="EF4444" w:sz="4"/>
              <w:right w:val="single" w:color="EF4444"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Cryptographic sign-off. Same build to production.</w:t>
            </w:r>
          </w:p>
        </w:tc>
      </w:tr>
    </w:tbl>
    <w:p>
      <w:pPr>
        <w:spacing w:after="0" w:before="240"/>
      </w:pPr>
      <w:r>
        <w:t xml:space="preserve"/>
      </w:r>
    </w:p>
    <w:p>
      <w:pPr>
        <w:pStyle w:val="Heading2"/>
        <w:spacing w:after="120" w:before="280"/>
      </w:pPr>
      <w:r>
        <w:rPr>
          <w:rFonts w:ascii="Arial" w:cs="Arial" w:eastAsia="Arial" w:hAnsi="Arial"/>
          <w:b/>
          <w:bCs/>
          <w:color w:val="2563EB"/>
          <w:sz w:val="28"/>
          <w:szCs w:val="28"/>
        </w:rPr>
        <w:t xml:space="preserve">How the Chain Works — Stage by Stage</w:t>
      </w:r>
    </w:p>
    <w:p>
      <w:pPr>
        <w:pStyle w:val="Heading3"/>
        <w:spacing w:after="80" w:before="200"/>
      </w:pPr>
      <w:r>
        <w:rPr>
          <w:rFonts w:ascii="Arial" w:cs="Arial" w:eastAsia="Arial" w:hAnsi="Arial"/>
          <w:b/>
          <w:bCs/>
          <w:color w:val="475569"/>
          <w:sz w:val="24"/>
          <w:szCs w:val="24"/>
        </w:rPr>
        <w:t xml:space="preserve">Stage 01 — UI Design Screen (Source: Design Tool)</w:t>
      </w:r>
    </w:p>
    <w:p>
      <w:pPr>
        <w:spacing w:after="80" w:before="60"/>
      </w:pPr>
      <w:r>
        <w:rPr>
          <w:rFonts w:ascii="Arial" w:cs="Arial" w:eastAsia="Arial" w:hAnsi="Arial"/>
          <w:color w:val="0F172A"/>
          <w:sz w:val="22"/>
          <w:szCs w:val="22"/>
        </w:rPr>
        <w:t xml:space="preserve">The chain begins the moment a designer saves an approved screen. PROVA's webhook fires, the screen is ingested, fingerprinted across five semantic dimensions, and stored as the canonical visual truth for that feature. Every subsequent stage is measured against this fingerprint.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7C3AED" w:val="clear"/>
            <w:tcMar>
              <w:top w:type="dxa" w:w="80"/>
              <w:left w:type="dxa" w:w="200"/>
              <w:bottom w:type="dxa" w:w="80"/>
              <w:right w:type="dxa" w:w="200"/>
            </w:tcMar>
          </w:tcPr>
          <w:p>
            <w:r>
              <w:rPr>
                <w:rFonts w:ascii="Arial" w:cs="Arial" w:eastAsia="Arial" w:hAnsi="Arial"/>
                <w:b/>
                <w:bCs/>
                <w:color w:val="FFFFFF"/>
                <w:sz w:val="20"/>
                <w:szCs w:val="20"/>
              </w:rPr>
              <w:t xml:space="preserve">WHAT PROVA CAPTURES AT STAGE 01</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Screen ID:         checkout-payment-v1.1-frame-047</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Source:            Figma file abc123, frame "Payment Step"</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Fingerprint:       layout zones, component inventory, interaction points</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Approved by:       Sarah Chen (Design Lead)</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Timestamp:         2026-06-10 09:15:00 UTC</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Version:           Proto v1.1</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REQ-IDs linked:    PROJ-1340-AC-1, PROJ-1340-AC-2, PROJ-1340-AC-3</w:t>
            </w:r>
          </w:p>
        </w:tc>
      </w:tr>
    </w:tbl>
    <w:p>
      <w:pPr>
        <w:spacing w:after="0" w:before="120"/>
      </w:pPr>
      <w:r>
        <w:t xml:space="preserve"/>
      </w:r>
    </w:p>
    <w:p>
      <w:pPr>
        <w:pStyle w:val="Heading3"/>
        <w:spacing w:after="80" w:before="200"/>
      </w:pPr>
      <w:r>
        <w:rPr>
          <w:rFonts w:ascii="Arial" w:cs="Arial" w:eastAsia="Arial" w:hAnsi="Arial"/>
          <w:b/>
          <w:bCs/>
          <w:color w:val="475569"/>
          <w:sz w:val="24"/>
          <w:szCs w:val="24"/>
        </w:rPr>
        <w:t xml:space="preserve">Stage 02 — FRD / Business Spec (Source: JIRA / Confluence)</w:t>
      </w:r>
    </w:p>
    <w:p>
      <w:pPr>
        <w:spacing w:after="80" w:before="60"/>
      </w:pPr>
      <w:r>
        <w:rPr>
          <w:rFonts w:ascii="Arial" w:cs="Arial" w:eastAsia="Arial" w:hAnsi="Arial"/>
          <w:color w:val="0F172A"/>
          <w:sz w:val="22"/>
          <w:szCs w:val="22"/>
        </w:rPr>
        <w:t xml:space="preserve">Every acceptance criterion in JIRA is parsed, linked to its design screen (Stage 01), and stored as a Rule Node in the knowledge graph. The link is bidirectional — from the JIRA ticket to the screen, and from the screen back to every AC that governs it. If a designer changes the screen without a corresponding JIRA update, PROVA flags a traceability gap immediately.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2563EB" w:val="clear"/>
            <w:tcMar>
              <w:top w:type="dxa" w:w="80"/>
              <w:left w:type="dxa" w:w="200"/>
              <w:bottom w:type="dxa" w:w="80"/>
              <w:right w:type="dxa" w:w="200"/>
            </w:tcMar>
          </w:tcPr>
          <w:p>
            <w:r>
              <w:rPr>
                <w:rFonts w:ascii="Arial" w:cs="Arial" w:eastAsia="Arial" w:hAnsi="Arial"/>
                <w:b/>
                <w:bCs/>
                <w:color w:val="FFFFFF"/>
                <w:sz w:val="20"/>
                <w:szCs w:val="20"/>
              </w:rPr>
              <w:t xml:space="preserve">TRACEABILITY LINK EXAMPLE — STAGE 01 TO STAGE 02</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PROJ-1340 AC-1: "Apple Pay button visible on checkout step 3"</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Links to: checkout-payment-v1.1-frame-047 (Stage 01)</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Links to: RULE-JIRA-041</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Status: LINKED ✓</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PROJ-1340 AC-5: "Confirmation email shows payment method used"</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Design screen: NOT FOUND — no confirmation email screen in Figma</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STATUS: TRACEABILITY GAP DETECTED ✗</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Action: Flag to design team — screen missing for AC-5</w:t>
            </w:r>
          </w:p>
        </w:tc>
      </w:tr>
    </w:tbl>
    <w:p>
      <w:pPr>
        <w:spacing w:after="0" w:before="120"/>
      </w:pPr>
      <w:r>
        <w:t xml:space="preserve"/>
      </w:r>
    </w:p>
    <w:p>
      <w:pPr>
        <w:pStyle w:val="Heading3"/>
        <w:spacing w:after="80" w:before="200"/>
      </w:pPr>
      <w:r>
        <w:rPr>
          <w:rFonts w:ascii="Arial" w:cs="Arial" w:eastAsia="Arial" w:hAnsi="Arial"/>
          <w:b/>
          <w:bCs/>
          <w:color w:val="475569"/>
          <w:sz w:val="24"/>
          <w:szCs w:val="24"/>
        </w:rPr>
        <w:t xml:space="preserve">Stage 03 — Prototype Pilot Run (Source: PROVA Simulation Engine)</w:t>
      </w:r>
    </w:p>
    <w:p>
      <w:pPr>
        <w:spacing w:after="80" w:before="60"/>
      </w:pPr>
      <w:r>
        <w:rPr>
          <w:rFonts w:ascii="Arial" w:cs="Arial" w:eastAsia="Arial" w:hAnsi="Arial"/>
          <w:color w:val="0F172A"/>
          <w:sz w:val="22"/>
          <w:szCs w:val="22"/>
        </w:rPr>
        <w:t xml:space="preserve">PROVA runs the approved screens as a simulated imaginary flow — navigating from screen to screen exactly as a user would, capturing a fingerprint at every step. This prototype run becomes the behavioral baseline. Every subsequent run — whether in QE or production — is measured against what the prototype established as the expected experience.</w:t>
      </w:r>
    </w:p>
    <w:p>
      <w:pPr>
        <w:spacing w:after="0" w:before="120"/>
      </w:pPr>
      <w:r>
        <w:t xml:space="preserve"/>
      </w:r>
    </w:p>
    <w:p>
      <w:pPr>
        <w:spacing w:after="80" w:before="60"/>
      </w:pPr>
      <w:r>
        <w:rPr>
          <w:rFonts w:ascii="Arial" w:cs="Arial" w:eastAsia="Arial" w:hAnsi="Arial"/>
          <w:color w:val="0F172A"/>
          <w:sz w:val="22"/>
          <w:szCs w:val="22"/>
        </w:rPr>
        <w:t xml:space="preserve">Critically, the prototype run also captures what analytics events should fire at each screen transition (from the GTM container), what accessibility properties each element should have (from Figma annotations), and what data each screen expects to display (from the JIRA AC). The baseline is not just visual — it is behavioral, functional, and analytical.</w:t>
      </w:r>
    </w:p>
    <w:p>
      <w:pPr>
        <w:spacing w:after="0" w:before="120"/>
      </w:pPr>
      <w:r>
        <w:t xml:space="preserve"/>
      </w:r>
    </w:p>
    <w:p>
      <w:pPr>
        <w:pStyle w:val="Heading3"/>
        <w:spacing w:after="80" w:before="200"/>
      </w:pPr>
      <w:r>
        <w:rPr>
          <w:rFonts w:ascii="Arial" w:cs="Arial" w:eastAsia="Arial" w:hAnsi="Arial"/>
          <w:b/>
          <w:bCs/>
          <w:color w:val="475569"/>
          <w:sz w:val="24"/>
          <w:szCs w:val="24"/>
        </w:rPr>
        <w:t xml:space="preserve">Stage 04 — Code Implementation (Source: GitHub Enterprise)</w:t>
      </w:r>
    </w:p>
    <w:p>
      <w:pPr>
        <w:spacing w:after="80" w:before="60"/>
      </w:pPr>
      <w:r>
        <w:rPr>
          <w:rFonts w:ascii="Arial" w:cs="Arial" w:eastAsia="Arial" w:hAnsi="Arial"/>
          <w:color w:val="0F172A"/>
          <w:sz w:val="22"/>
          <w:szCs w:val="22"/>
        </w:rPr>
        <w:t xml:space="preserve">As developers build against the spec, PROVA watches every PR. The knowledge graph cross-references each code change against three sources simultaneously: does the code match what JIRA specifies? Does it implement what the design requires? Does it conform to what the database schema allows? Any divergence is flagged at PR time — before the code merges.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80"/>
              <w:left w:type="dxa" w:w="200"/>
              <w:bottom w:type="dxa" w:w="80"/>
              <w:right w:type="dxa" w:w="200"/>
            </w:tcMar>
          </w:tcPr>
          <w:p>
            <w:r>
              <w:rPr>
                <w:rFonts w:ascii="Arial" w:cs="Arial" w:eastAsia="Arial" w:hAnsi="Arial"/>
                <w:b/>
                <w:bCs/>
                <w:color w:val="FFFFFF"/>
                <w:sz w:val="20"/>
                <w:szCs w:val="20"/>
              </w:rPr>
              <w:t xml:space="preserve">PR-TIME TRACEABILITY CHECK EXAMPLE</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 #267 opened: payment.service.js modified</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PROVA CROSS-REFERENCE:</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Code: applePayEnabled = cart.total &gt; 50    ← threshold enforced</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JIRA: PROJ-1340 — no threshold mentioned   ← CONFLICT</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Design: Apple Pay button always visible     ← CONFLICT</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DB: no threshold column                    ← CONFLICT</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TRACEABILITY VIOLATION: Code introduces undocumented rule</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 BLOCKED until product owner clarifies threshold</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Assignee: @dev-sarah notified automatically</w:t>
            </w:r>
          </w:p>
        </w:tc>
      </w:tr>
    </w:tbl>
    <w:p>
      <w:pPr>
        <w:spacing w:after="0" w:before="120"/>
      </w:pPr>
      <w:r>
        <w:t xml:space="preserve"/>
      </w:r>
    </w:p>
    <w:p>
      <w:pPr>
        <w:pStyle w:val="Heading3"/>
        <w:spacing w:after="80" w:before="200"/>
      </w:pPr>
      <w:r>
        <w:rPr>
          <w:rFonts w:ascii="Arial" w:cs="Arial" w:eastAsia="Arial" w:hAnsi="Arial"/>
          <w:b/>
          <w:bCs/>
          <w:color w:val="475569"/>
          <w:sz w:val="24"/>
          <w:szCs w:val="24"/>
        </w:rPr>
        <w:t xml:space="preserve">Stage 05 — Sample Data Testing (Source: PROVA Data Factory)</w:t>
      </w:r>
    </w:p>
    <w:p>
      <w:pPr>
        <w:spacing w:after="80" w:before="60"/>
      </w:pPr>
      <w:r>
        <w:rPr>
          <w:rFonts w:ascii="Arial" w:cs="Arial" w:eastAsia="Arial" w:hAnsi="Arial"/>
          <w:color w:val="0F172A"/>
          <w:sz w:val="22"/>
          <w:szCs w:val="22"/>
        </w:rPr>
        <w:t xml:space="preserve">Before the real application run, PROVA generates or clones test data that specifically exercises every acceptance criterion, every boundary value from the knowledge graph rules, and every edge case identified during the prototype run. This is not generic test data — it is purposefully constructed to verify the specific chain of requirements from Stage 02.</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Tests and Why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Requirement-linked data</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Every JIRA AC gets a dedicated data set. AC-1 (Apple Pay button visible) gets: authenticated user, cart with items, Apple Pay-supported device context.</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Boundary data</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RULE-CODE-089 says Apple Pay minimum cart value exists in code. Data sets generated at threshold -$0.01, exactly at threshold, threshold +$0.01.</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Prototype-matched data</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The prototype ran with a cart showing 2 items. Production run uses data matching this — same number of items, same price range, same user state.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Edge case data</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Expired Apple Pay token, unsupported device, maximum cart items, zero-inventory item in cart — all generated automatically from knowledge graph.</w:t>
            </w:r>
          </w:p>
        </w:tc>
      </w:tr>
    </w:tbl>
    <w:p>
      <w:pPr>
        <w:spacing w:after="0" w:before="120"/>
      </w:pPr>
      <w:r>
        <w:t xml:space="preserve"/>
      </w:r>
    </w:p>
    <w:p>
      <w:pPr>
        <w:pStyle w:val="Heading3"/>
        <w:spacing w:after="80" w:before="200"/>
      </w:pPr>
      <w:r>
        <w:rPr>
          <w:rFonts w:ascii="Arial" w:cs="Arial" w:eastAsia="Arial" w:hAnsi="Arial"/>
          <w:b/>
          <w:bCs/>
          <w:color w:val="475569"/>
          <w:sz w:val="24"/>
          <w:szCs w:val="24"/>
        </w:rPr>
        <w:t xml:space="preserve">Stage 06 — Real Application Run (Source: PROVA Execution Engine)</w:t>
      </w:r>
    </w:p>
    <w:p>
      <w:pPr>
        <w:spacing w:after="80" w:before="60"/>
      </w:pPr>
      <w:r>
        <w:rPr>
          <w:rFonts w:ascii="Arial" w:cs="Arial" w:eastAsia="Arial" w:hAnsi="Arial"/>
          <w:color w:val="0F172A"/>
          <w:sz w:val="22"/>
          <w:szCs w:val="22"/>
        </w:rPr>
        <w:t xml:space="preserve">The production-candidate build runs in the QE environment — which is verified to be identical to production infrastructure before the run begins. PROVA executes every flow from Stage 03, using data from Stage 05, measuring against the prototype baseline from Stage 03, verifying AC coverage from Stage 02, validating code behavior from Stage 04. Every assertion is tagged to its source REQ-ID.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10B981" w:val="clear"/>
            <w:tcMar>
              <w:top w:type="dxa" w:w="80"/>
              <w:left w:type="dxa" w:w="200"/>
              <w:bottom w:type="dxa" w:w="80"/>
              <w:right w:type="dxa" w:w="200"/>
            </w:tcMar>
          </w:tcPr>
          <w:p>
            <w:r>
              <w:rPr>
                <w:rFonts w:ascii="Arial" w:cs="Arial" w:eastAsia="Arial" w:hAnsi="Arial"/>
                <w:b/>
                <w:bCs/>
                <w:color w:val="FFFFFF"/>
                <w:sz w:val="20"/>
                <w:szCs w:val="20"/>
              </w:rPr>
              <w:t xml:space="preserve">STAGE 06 — MATCH SCORE CALCULATION</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Flow: Apple Pay Checkout — Build v1.1</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PROTOTYPE vs PRODUCTION COMPARISON:</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Screen: Checkout Step 3</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Layout Fidelity:       100%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Component Presence:     98% ✓  (Apple Pay button present)</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Interaction Fidelity:  100% ✓  (tap opens sheet)</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Content Structure:      97%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Behavior Fidelity:      95% ✓  (confirmation correct)</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Screen Match Score:     98%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AC COVERAGE: 8/8 acceptance criteria verified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RULE COVERAGE: 12/12 applicable rules tested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DATA COVERAGE: All 4 data scenarios executed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ANALYTICS: apple_pay_click event firing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A11Y: WCAG 2.2 AA — 96%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COMPOSITE FLOW SCORE: 97.4% ✓</w:t>
            </w:r>
          </w:p>
        </w:tc>
      </w:tr>
    </w:tbl>
    <w:p>
      <w:pPr>
        <w:spacing w:after="0" w:before="120"/>
      </w:pPr>
      <w:r>
        <w:t xml:space="preserve"/>
      </w:r>
    </w:p>
    <w:p>
      <w:pPr>
        <w:pStyle w:val="Heading3"/>
        <w:spacing w:after="80" w:before="200"/>
      </w:pPr>
      <w:r>
        <w:rPr>
          <w:rFonts w:ascii="Arial" w:cs="Arial" w:eastAsia="Arial" w:hAnsi="Arial"/>
          <w:b/>
          <w:bCs/>
          <w:color w:val="475569"/>
          <w:sz w:val="24"/>
          <w:szCs w:val="24"/>
        </w:rPr>
        <w:t xml:space="preserve">Stage 07 — QE Approval and Production Release</w:t>
      </w:r>
    </w:p>
    <w:p>
      <w:pPr>
        <w:spacing w:after="80" w:before="60"/>
      </w:pPr>
      <w:r>
        <w:rPr>
          <w:rFonts w:ascii="Arial" w:cs="Arial" w:eastAsia="Arial" w:hAnsi="Arial"/>
          <w:color w:val="0F172A"/>
          <w:sz w:val="22"/>
          <w:szCs w:val="22"/>
        </w:rPr>
        <w:t xml:space="preserve">The QE lead reviews the complete Golden Thread report — all 7 stages visible in one screen. Every design screen shows its prototype match score. Every JIRA AC shows its test result. Every code change shows its traceability verification. Every data scenario shows its execution result. The QE lead approves the specific build hash. That hash — and only that hash — is deployed to production.</w:t>
      </w:r>
    </w:p>
    <w:p>
      <w:pPr>
        <w:spacing w:after="0" w:before="120"/>
      </w:pPr>
      <w:r>
        <w:t xml:space="preserve"/>
      </w:r>
    </w:p>
    <w:p>
      <w:pPr>
        <w:spacing w:after="80" w:before="60"/>
      </w:pPr>
      <w:r>
        <w:rPr>
          <w:rFonts w:ascii="Arial" w:cs="Arial" w:eastAsia="Arial" w:hAnsi="Arial"/>
          <w:color w:val="0F172A"/>
          <w:sz w:val="22"/>
          <w:szCs w:val="22"/>
        </w:rPr>
        <w:t xml:space="preserve">After deployment, PROVA runs the Stage 03 prototype smoke tests against production to confirm that what is live matches what was tested. If anything diverges — even a configuration difference between QE and production environments — PROVA detects it within minutes and triggers an alert.</w:t>
      </w:r>
    </w:p>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The Golden Thread Report</w:t>
      </w:r>
    </w:p>
    <w:p>
      <w:pPr>
        <w:spacing w:after="80" w:before="60"/>
      </w:pPr>
      <w:r>
        <w:rPr>
          <w:rFonts w:ascii="Arial" w:cs="Arial" w:eastAsia="Arial" w:hAnsi="Arial"/>
          <w:color w:val="0F172A"/>
          <w:sz w:val="22"/>
          <w:szCs w:val="22"/>
        </w:rPr>
        <w:t xml:space="preserve">The Golden Thread Report is the single most important output PROVA produces. It is a complete, auditable, immutable record of every stage of the delivery lifecycle for a specific version — from design approval to production confirmation. It is the document that answers the question every stakeholder asks: "How do we know this is right?"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Report Section</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Design Traceability</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Every approved screen listed. Figma version, approver, timestamp, REQ-IDs linked. Change history since v1.0.</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Spec Traceability</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Every JIRA AC listed. Source ticket, acceptance text, linked design screen, linked code file, linked test case, result.</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Prototype Traceability</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Every prototype flow run listed. Flow name, screens visited, fingerprints captured, baseline version, run timestamp.</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Code Traceability</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Every PR merged into this version. Files changed, rules extracted, cross-reference status, conflicts found and resolved.</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Data Traceability</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Every test dataset used. Source (cloned or synthetic), creation timestamp, PII scan confirmation, cleanup confirmation.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Test Traceability</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Every test case executed. Pass/fail, screenshot, video, REQ-ID linked, worker ID, run duration, match score.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Approval Traceability</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QE lead name, timestamp, build hash approved, environment parity verification, post-deploy confirmation status.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The 100% Accuracy Guarantee</w:t>
      </w:r>
    </w:p>
    <w:p>
      <w:pPr>
        <w:spacing w:after="80" w:before="60"/>
      </w:pPr>
      <w:r>
        <w:rPr>
          <w:rFonts w:ascii="Arial" w:cs="Arial" w:eastAsia="Arial" w:hAnsi="Arial"/>
          <w:color w:val="0F172A"/>
          <w:sz w:val="22"/>
          <w:szCs w:val="22"/>
        </w:rPr>
        <w:t xml:space="preserve">PROVA defines 100% accuracy as all seven of the following conditions being simultaneously true for a release: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Accuracy Dimension</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100% Means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Design accuracy</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Every production screen matches its approved prototype at or above the threshold (default 95%).</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Spec accuracy</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Every JIRA acceptance criterion has a corresponding passing test case. Zero untested ACs.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Code accuracy</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Zero unresolved conflicts between code implementation and JIRA/design specification.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Data accuracy</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All required data scenarios executed. All boundary values tested. All edge cases covered.</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Behavioral accuracy</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All business rules from knowledge graph verified in the real application run.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Analytics accuracy</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All expected analytics events firing with correct schema. Analytics health score at threshold.</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Environmental accuracy</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QE environment parity with production verified. Same build artifact deployed. SHA256 confirmed.</w:t>
            </w:r>
          </w:p>
        </w:tc>
      </w:tr>
    </w:tbl>
    <w:p>
      <w:pPr>
        <w:spacing w:after="0" w:before="120"/>
      </w:pPr>
      <w:r>
        <w:t xml:space="preserve"/>
      </w:r>
    </w:p>
    <w:p>
      <w:pPr>
        <w:spacing w:after="80" w:before="60"/>
      </w:pPr>
      <w:r>
        <w:rPr>
          <w:rFonts w:ascii="Arial" w:cs="Arial" w:eastAsia="Arial" w:hAnsi="Arial"/>
          <w:color w:val="0F172A"/>
          <w:sz w:val="22"/>
          <w:szCs w:val="22"/>
        </w:rPr>
        <w:t xml:space="preserve">Only when all seven conditions are met does PROVA display the release as approved for production. Any single condition failing blocks the release — automatically, without human override — until the gap is resolved and re-verified.</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Traceability vs ACCELQ — The Definitive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PROVA Golden Thread</w:t>
            </w:r>
          </w:p>
        </w:tc>
        <w:tc>
          <w:tcPr>
            <w:tcW w:type="dxa" w:w="32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ACCELQ Traceability</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Chain starts at</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UI Design screen (Stage 01)</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JIRA user story (ACCELQ Stage 01)</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Design traceability</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Full — Figma to test to production match score</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None — no design tool connection</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Prototype traceability</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Full — simulated flow baseline captured before code</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None — no prototype concept</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Code traceability</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Full — GHE PR analysis, rule extraction, conflict detection</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Partial — JIRA ticket link only</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Data traceability</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Full — requirement-linked datasets, PII audit trail</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Partial — data parameterization only</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Test traceability</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Full — test to AC to screen to code to result</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Partial — test to JIRA user story</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Production confirmation</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Full — post-deploy smoke run confirms parity</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None — no production verification</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Direction</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7-directional across all stages</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2-directional (test cases and JIRA)</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Maintenance</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Automatic — webhooks and connectors maintain all links</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Manual — team must update JIRA links</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Gap detection</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Automatic — mismatches flagged across all sources</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Manual — requires human audit</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How Golden Thread Integrates With All Other PROVA Features</w:t>
      </w:r>
    </w:p>
    <w:p>
      <w:pPr>
        <w:spacing w:after="80" w:before="60"/>
      </w:pPr>
      <w:r>
        <w:rPr>
          <w:rFonts w:ascii="Arial" w:cs="Arial" w:eastAsia="Arial" w:hAnsi="Arial"/>
          <w:color w:val="0F172A"/>
          <w:sz w:val="22"/>
          <w:szCs w:val="22"/>
        </w:rPr>
        <w:t xml:space="preserve">The Golden Thread is not a standalone feature. It is the connective tissue that makes every other PROVA capability more powerful. Each REQ ties into the chain.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Connected Feature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It Feeds the Golden Thread</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REQ-01 (App Learning)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The knowledge graph is the intelligence layer of the chain. Every rule, screen, flow, and data state in the graph has a chain address — traceable to its source.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REQ-02 (Test Generation)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Every generated test is tagged with the chain address of its source AC, its source design screen, and its source code rule. The test knows exactly why it exists.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REQ-03 (Prototype Engine)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The prototype run IS Stage 03 of the chain. The baseline it captures is the measurement standard for Stage 06.</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REQ-04 (Scoped Execution)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The scope is determined by the chain. A CR changes Stage 01 (design) and Stage 02 (spec). The chain knows exactly which Stage 06 tests must re-run as a result.</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REQ-05 (Versioning)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Every version is a complete snapshot of the entire Golden Thread at a point in time. v1.0 and v1.1 are complete, independent chains with a defined inheritance relationship.</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REQ-06 (Data Factory)</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Every data set is linked to the Stage 02 ACs it exercises. The chain knows which data tested which requirement.</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REQ-07 (Performance)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Every parallel worker run is a Stage 06 execution event. All results feed back into the chain with their worker ID, timestamp, and match score.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REQ-09 (A11Y)</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A11Y scores are Stage 06 measurements. They are compared against the A11Y intent captured in Stage 01 (Figma annotations).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REQ-10 (Analytics)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Analytics validation is a Stage 06 measurement compared against the GTM baseline captured during Stage 03.</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REQ-11 (Exploratory)</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Every bug the explorer finds is tagged to the page and flow it occurred in — giving it a chain address and automatic JIRA ticket with Stage 04 code reference.</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Where PROVA Now Stands — Updated Scorecard</w:t>
      </w:r>
    </w:p>
    <w:p>
      <w:pPr>
        <w:spacing w:after="80" w:before="60"/>
      </w:pPr>
      <w:r>
        <w:rPr>
          <w:rFonts w:ascii="Arial" w:cs="Arial" w:eastAsia="Arial" w:hAnsi="Arial"/>
          <w:color w:val="0F172A"/>
          <w:sz w:val="22"/>
          <w:szCs w:val="22"/>
        </w:rPr>
        <w:t xml:space="preserve">With the Golden Thread as a formal feature — scored as a distinct capability — PROVA achieves its final decisive advantage over every competitor. No current tool offers chain traceability starting at the design stage. ACCELQ starts at JIRA. TestRail starts at test cases. Azure DevOps starts at work items. PROVA starts at the pixel.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4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PROVA</w:t>
            </w:r>
          </w:p>
        </w:tc>
        <w:tc>
          <w:tcPr>
            <w:tcW w:type="dxa" w:w="234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ACCELQ</w:t>
            </w:r>
          </w:p>
        </w:tc>
      </w:tr>
      <w:tr>
        <w:tc>
          <w:tcPr>
            <w:tcW w:type="dxa" w:w="46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0F172A"/>
                <w:sz w:val="20"/>
                <w:szCs w:val="20"/>
              </w:rPr>
              <w:t xml:space="preserve">Golden Thread Traceability (NEW)</w:t>
            </w:r>
          </w:p>
        </w:tc>
        <w:tc>
          <w:tcPr>
            <w:tcW w:type="dxa" w:w="234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2563EB"/>
                <w:sz w:val="20"/>
                <w:szCs w:val="20"/>
              </w:rPr>
              <w:t xml:space="preserve">10 / 10 — 7-stage full chain</w:t>
            </w:r>
          </w:p>
        </w:tc>
        <w:tc>
          <w:tcPr>
            <w:tcW w:type="dxa" w:w="234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F59E0B"/>
                <w:sz w:val="20"/>
                <w:szCs w:val="20"/>
              </w:rPr>
              <w:t xml:space="preserve">2 / 10 — test to JIRA only</w:t>
            </w:r>
          </w:p>
        </w:tc>
      </w:tr>
      <w:tr>
        <w:tc>
          <w:tcPr>
            <w:tcW w:type="dxa" w:w="46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val="false"/>
                <w:bCs w:val="false"/>
                <w:color w:val="0F172A"/>
                <w:sz w:val="20"/>
                <w:szCs w:val="20"/>
              </w:rPr>
              <w:t xml:space="preserve">Design Tool Ingestion</w:t>
            </w:r>
          </w:p>
        </w:tc>
        <w:tc>
          <w:tcPr>
            <w:tcW w:type="dxa" w:w="234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bCs/>
                <w:color w:val="2563EB"/>
                <w:sz w:val="20"/>
                <w:szCs w:val="20"/>
              </w:rPr>
              <w:t xml:space="preserve">9.5 / 10</w:t>
            </w:r>
          </w:p>
        </w:tc>
        <w:tc>
          <w:tcPr>
            <w:tcW w:type="dxa" w:w="234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bCs/>
                <w:color w:val="F59E0B"/>
                <w:sz w:val="20"/>
                <w:szCs w:val="20"/>
              </w:rPr>
              <w:t xml:space="preserve">2 / 10</w:t>
            </w:r>
          </w:p>
        </w:tc>
      </w:tr>
      <w:tr>
        <w:tc>
          <w:tcPr>
            <w:tcW w:type="dxa" w:w="46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0F172A"/>
                <w:sz w:val="20"/>
                <w:szCs w:val="20"/>
              </w:rPr>
              <w:t xml:space="preserve">Prototype-to-Production Engine</w:t>
            </w:r>
          </w:p>
        </w:tc>
        <w:tc>
          <w:tcPr>
            <w:tcW w:type="dxa" w:w="234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2563EB"/>
                <w:sz w:val="20"/>
                <w:szCs w:val="20"/>
              </w:rPr>
              <w:t xml:space="preserve">10 / 10</w:t>
            </w:r>
          </w:p>
        </w:tc>
        <w:tc>
          <w:tcPr>
            <w:tcW w:type="dxa" w:w="234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F59E0B"/>
                <w:sz w:val="20"/>
                <w:szCs w:val="20"/>
              </w:rPr>
              <w:t xml:space="preserve">0 / 10</w:t>
            </w:r>
          </w:p>
        </w:tc>
      </w:tr>
      <w:tr>
        <w:tc>
          <w:tcPr>
            <w:tcW w:type="dxa" w:w="46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val="false"/>
                <w:bCs w:val="false"/>
                <w:color w:val="0F172A"/>
                <w:sz w:val="20"/>
                <w:szCs w:val="20"/>
              </w:rPr>
              <w:t xml:space="preserve">AI Test Generation</w:t>
            </w:r>
          </w:p>
        </w:tc>
        <w:tc>
          <w:tcPr>
            <w:tcW w:type="dxa" w:w="234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bCs/>
                <w:color w:val="2563EB"/>
                <w:sz w:val="20"/>
                <w:szCs w:val="20"/>
              </w:rPr>
              <w:t xml:space="preserve">9 / 10</w:t>
            </w:r>
          </w:p>
        </w:tc>
        <w:tc>
          <w:tcPr>
            <w:tcW w:type="dxa" w:w="234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bCs/>
                <w:color w:val="F59E0B"/>
                <w:sz w:val="20"/>
                <w:szCs w:val="20"/>
              </w:rPr>
              <w:t xml:space="preserve">8 / 10</w:t>
            </w:r>
          </w:p>
        </w:tc>
      </w:tr>
      <w:tr>
        <w:tc>
          <w:tcPr>
            <w:tcW w:type="dxa" w:w="46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0F172A"/>
                <w:sz w:val="20"/>
                <w:szCs w:val="20"/>
              </w:rPr>
              <w:t xml:space="preserve">Self-Healing Selectors</w:t>
            </w:r>
          </w:p>
        </w:tc>
        <w:tc>
          <w:tcPr>
            <w:tcW w:type="dxa" w:w="234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2563EB"/>
                <w:sz w:val="20"/>
                <w:szCs w:val="20"/>
              </w:rPr>
              <w:t xml:space="preserve">9.5 / 10</w:t>
            </w:r>
          </w:p>
        </w:tc>
        <w:tc>
          <w:tcPr>
            <w:tcW w:type="dxa" w:w="234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F59E0B"/>
                <w:sz w:val="20"/>
                <w:szCs w:val="20"/>
              </w:rPr>
              <w:t xml:space="preserve">9 / 10</w:t>
            </w:r>
          </w:p>
        </w:tc>
      </w:tr>
      <w:tr>
        <w:tc>
          <w:tcPr>
            <w:tcW w:type="dxa" w:w="46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val="false"/>
                <w:bCs w:val="false"/>
                <w:color w:val="0F172A"/>
                <w:sz w:val="20"/>
                <w:szCs w:val="20"/>
              </w:rPr>
              <w:t xml:space="preserve">Scoped CR Execution</w:t>
            </w:r>
          </w:p>
        </w:tc>
        <w:tc>
          <w:tcPr>
            <w:tcW w:type="dxa" w:w="234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bCs/>
                <w:color w:val="2563EB"/>
                <w:sz w:val="20"/>
                <w:szCs w:val="20"/>
              </w:rPr>
              <w:t xml:space="preserve">9.5 / 10</w:t>
            </w:r>
          </w:p>
        </w:tc>
        <w:tc>
          <w:tcPr>
            <w:tcW w:type="dxa" w:w="234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bCs/>
                <w:color w:val="F59E0B"/>
                <w:sz w:val="20"/>
                <w:szCs w:val="20"/>
              </w:rPr>
              <w:t xml:space="preserve">6.5 / 10</w:t>
            </w:r>
          </w:p>
        </w:tc>
      </w:tr>
      <w:tr>
        <w:tc>
          <w:tcPr>
            <w:tcW w:type="dxa" w:w="46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0F172A"/>
                <w:sz w:val="20"/>
                <w:szCs w:val="20"/>
              </w:rPr>
              <w:t xml:space="preserve">Test Data Factory</w:t>
            </w:r>
          </w:p>
        </w:tc>
        <w:tc>
          <w:tcPr>
            <w:tcW w:type="dxa" w:w="234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2563EB"/>
                <w:sz w:val="20"/>
                <w:szCs w:val="20"/>
              </w:rPr>
              <w:t xml:space="preserve">9.5 / 10</w:t>
            </w:r>
          </w:p>
        </w:tc>
        <w:tc>
          <w:tcPr>
            <w:tcW w:type="dxa" w:w="234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F59E0B"/>
                <w:sz w:val="20"/>
                <w:szCs w:val="20"/>
              </w:rPr>
              <w:t xml:space="preserve">3 / 10</w:t>
            </w:r>
          </w:p>
        </w:tc>
      </w:tr>
      <w:tr>
        <w:tc>
          <w:tcPr>
            <w:tcW w:type="dxa" w:w="46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val="false"/>
                <w:bCs w:val="false"/>
                <w:color w:val="0F172A"/>
                <w:sz w:val="20"/>
                <w:szCs w:val="20"/>
              </w:rPr>
              <w:t xml:space="preserve">Analytics Validation</w:t>
            </w:r>
          </w:p>
        </w:tc>
        <w:tc>
          <w:tcPr>
            <w:tcW w:type="dxa" w:w="234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bCs/>
                <w:color w:val="2563EB"/>
                <w:sz w:val="20"/>
                <w:szCs w:val="20"/>
              </w:rPr>
              <w:t xml:space="preserve">9.5 / 10</w:t>
            </w:r>
          </w:p>
        </w:tc>
        <w:tc>
          <w:tcPr>
            <w:tcW w:type="dxa" w:w="234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bCs/>
                <w:color w:val="F59E0B"/>
                <w:sz w:val="20"/>
                <w:szCs w:val="20"/>
              </w:rPr>
              <w:t xml:space="preserve">0 / 10</w:t>
            </w:r>
          </w:p>
        </w:tc>
      </w:tr>
      <w:tr>
        <w:tc>
          <w:tcPr>
            <w:tcW w:type="dxa" w:w="46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0F172A"/>
                <w:sz w:val="20"/>
                <w:szCs w:val="20"/>
              </w:rPr>
              <w:t xml:space="preserve">A11Y Testing</w:t>
            </w:r>
          </w:p>
        </w:tc>
        <w:tc>
          <w:tcPr>
            <w:tcW w:type="dxa" w:w="234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2563EB"/>
                <w:sz w:val="20"/>
                <w:szCs w:val="20"/>
              </w:rPr>
              <w:t xml:space="preserve">9.5 / 10</w:t>
            </w:r>
          </w:p>
        </w:tc>
        <w:tc>
          <w:tcPr>
            <w:tcW w:type="dxa" w:w="234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F59E0B"/>
                <w:sz w:val="20"/>
                <w:szCs w:val="20"/>
              </w:rPr>
              <w:t xml:space="preserve">6 / 10</w:t>
            </w:r>
          </w:p>
        </w:tc>
      </w:tr>
      <w:tr>
        <w:tc>
          <w:tcPr>
            <w:tcW w:type="dxa" w:w="46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val="false"/>
                <w:bCs w:val="false"/>
                <w:color w:val="0F172A"/>
                <w:sz w:val="20"/>
                <w:szCs w:val="20"/>
              </w:rPr>
              <w:t xml:space="preserve">Deep Exploratory Testing</w:t>
            </w:r>
          </w:p>
        </w:tc>
        <w:tc>
          <w:tcPr>
            <w:tcW w:type="dxa" w:w="234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bCs/>
                <w:color w:val="2563EB"/>
                <w:sz w:val="20"/>
                <w:szCs w:val="20"/>
              </w:rPr>
              <w:t xml:space="preserve">9 / 10</w:t>
            </w:r>
          </w:p>
        </w:tc>
        <w:tc>
          <w:tcPr>
            <w:tcW w:type="dxa" w:w="234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bCs/>
                <w:color w:val="F59E0B"/>
                <w:sz w:val="20"/>
                <w:szCs w:val="20"/>
              </w:rPr>
              <w:t xml:space="preserve">4 / 10</w:t>
            </w:r>
          </w:p>
        </w:tc>
      </w:tr>
      <w:tr>
        <w:tc>
          <w:tcPr>
            <w:tcW w:type="dxa" w:w="46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0F172A"/>
                <w:sz w:val="20"/>
                <w:szCs w:val="20"/>
              </w:rPr>
              <w:t xml:space="preserve">Performance / Load Testing</w:t>
            </w:r>
          </w:p>
        </w:tc>
        <w:tc>
          <w:tcPr>
            <w:tcW w:type="dxa" w:w="234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2563EB"/>
                <w:sz w:val="20"/>
                <w:szCs w:val="20"/>
              </w:rPr>
              <w:t xml:space="preserve">9 / 10 (roadmap)</w:t>
            </w:r>
          </w:p>
        </w:tc>
        <w:tc>
          <w:tcPr>
            <w:tcW w:type="dxa" w:w="234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F59E0B"/>
                <w:sz w:val="20"/>
                <w:szCs w:val="20"/>
              </w:rPr>
              <w:t xml:space="preserve">5 / 10</w:t>
            </w:r>
          </w:p>
        </w:tc>
      </w:tr>
      <w:tr>
        <w:tc>
          <w:tcPr>
            <w:tcW w:type="dxa" w:w="46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val="false"/>
                <w:bCs w:val="false"/>
                <w:color w:val="0F172A"/>
                <w:sz w:val="20"/>
                <w:szCs w:val="20"/>
              </w:rPr>
              <w:t xml:space="preserve">Security Testing</w:t>
            </w:r>
          </w:p>
        </w:tc>
        <w:tc>
          <w:tcPr>
            <w:tcW w:type="dxa" w:w="234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bCs/>
                <w:color w:val="2563EB"/>
                <w:sz w:val="20"/>
                <w:szCs w:val="20"/>
              </w:rPr>
              <w:t xml:space="preserve">9 / 10 (roadmap)</w:t>
            </w:r>
          </w:p>
        </w:tc>
        <w:tc>
          <w:tcPr>
            <w:tcW w:type="dxa" w:w="234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bCs/>
                <w:color w:val="F59E0B"/>
                <w:sz w:val="20"/>
                <w:szCs w:val="20"/>
              </w:rPr>
              <w:t xml:space="preserve">4 / 10</w:t>
            </w:r>
          </w:p>
        </w:tc>
      </w:tr>
      <w:tr>
        <w:tc>
          <w:tcPr>
            <w:tcW w:type="dxa" w:w="46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0F172A"/>
                <w:sz w:val="20"/>
                <w:szCs w:val="20"/>
              </w:rPr>
              <w:t xml:space="preserve">Zero License Cost</w:t>
            </w:r>
          </w:p>
        </w:tc>
        <w:tc>
          <w:tcPr>
            <w:tcW w:type="dxa" w:w="234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2563EB"/>
                <w:sz w:val="20"/>
                <w:szCs w:val="20"/>
              </w:rPr>
              <w:t xml:space="preserve">9 / 10</w:t>
            </w:r>
          </w:p>
        </w:tc>
        <w:tc>
          <w:tcPr>
            <w:tcW w:type="dxa" w:w="234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F59E0B"/>
                <w:sz w:val="20"/>
                <w:szCs w:val="20"/>
              </w:rPr>
              <w:t xml:space="preserve">4 / 10</w:t>
            </w:r>
          </w:p>
        </w:tc>
      </w:tr>
      <w:tr>
        <w:tc>
          <w:tcPr>
            <w:tcW w:type="dxa" w:w="46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val="false"/>
                <w:bCs w:val="false"/>
                <w:color w:val="0F172A"/>
                <w:sz w:val="20"/>
                <w:szCs w:val="20"/>
              </w:rPr>
              <w:t xml:space="preserve">Env Parity Enforcement</w:t>
            </w:r>
          </w:p>
        </w:tc>
        <w:tc>
          <w:tcPr>
            <w:tcW w:type="dxa" w:w="234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bCs/>
                <w:color w:val="2563EB"/>
                <w:sz w:val="20"/>
                <w:szCs w:val="20"/>
              </w:rPr>
              <w:t xml:space="preserve">9.5 / 10</w:t>
            </w:r>
          </w:p>
        </w:tc>
        <w:tc>
          <w:tcPr>
            <w:tcW w:type="dxa" w:w="234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bCs/>
                <w:color w:val="F59E0B"/>
                <w:sz w:val="20"/>
                <w:szCs w:val="20"/>
              </w:rPr>
              <w:t xml:space="preserve">5 / 10</w:t>
            </w:r>
          </w:p>
        </w:tc>
      </w:tr>
      <w:tr>
        <w:tc>
          <w:tcPr>
            <w:tcW w:type="dxa" w:w="46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0F172A"/>
                <w:sz w:val="20"/>
                <w:szCs w:val="20"/>
              </w:rPr>
              <w:t xml:space="preserve">Platform Breadth</w:t>
            </w:r>
          </w:p>
        </w:tc>
        <w:tc>
          <w:tcPr>
            <w:tcW w:type="dxa" w:w="234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2563EB"/>
                <w:sz w:val="20"/>
                <w:szCs w:val="20"/>
              </w:rPr>
              <w:t xml:space="preserve">9.5 / 10 (roadmap)</w:t>
            </w:r>
          </w:p>
        </w:tc>
        <w:tc>
          <w:tcPr>
            <w:tcW w:type="dxa" w:w="234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F59E0B"/>
                <w:sz w:val="20"/>
                <w:szCs w:val="20"/>
              </w:rPr>
              <w:t xml:space="preserve">9.5 / 10</w:t>
            </w:r>
          </w:p>
        </w:tc>
      </w:tr>
      <w:tr>
        <w:tc>
          <w:tcPr>
            <w:tcW w:type="dxa" w:w="46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val="false"/>
                <w:bCs w:val="false"/>
                <w:color w:val="0F172A"/>
                <w:sz w:val="20"/>
                <w:szCs w:val="20"/>
              </w:rPr>
              <w:t xml:space="preserve">API Testing Depth</w:t>
            </w:r>
          </w:p>
        </w:tc>
        <w:tc>
          <w:tcPr>
            <w:tcW w:type="dxa" w:w="234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bCs/>
                <w:color w:val="2563EB"/>
                <w:sz w:val="20"/>
                <w:szCs w:val="20"/>
              </w:rPr>
              <w:t xml:space="preserve">9 / 10</w:t>
            </w:r>
          </w:p>
        </w:tc>
        <w:tc>
          <w:tcPr>
            <w:tcW w:type="dxa" w:w="234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bCs/>
                <w:color w:val="F59E0B"/>
                <w:sz w:val="20"/>
                <w:szCs w:val="20"/>
              </w:rPr>
              <w:t xml:space="preserve">9 / 10</w:t>
            </w:r>
          </w:p>
        </w:tc>
      </w:tr>
      <w:tr>
        <w:tc>
          <w:tcPr>
            <w:tcW w:type="dxa" w:w="46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0F172A"/>
                <w:sz w:val="20"/>
                <w:szCs w:val="20"/>
              </w:rPr>
              <w:t xml:space="preserve">Codeless UX (Studio)</w:t>
            </w:r>
          </w:p>
        </w:tc>
        <w:tc>
          <w:tcPr>
            <w:tcW w:type="dxa" w:w="234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2563EB"/>
                <w:sz w:val="20"/>
                <w:szCs w:val="20"/>
              </w:rPr>
              <w:t xml:space="preserve">9.5 / 10 (roadmap)</w:t>
            </w:r>
          </w:p>
        </w:tc>
        <w:tc>
          <w:tcPr>
            <w:tcW w:type="dxa" w:w="234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F59E0B"/>
                <w:sz w:val="20"/>
                <w:szCs w:val="20"/>
              </w:rPr>
              <w:t xml:space="preserve">9.5 / 10</w:t>
            </w:r>
          </w:p>
        </w:tc>
      </w:tr>
      <w:tr>
        <w:tc>
          <w:tcPr>
            <w:tcW w:type="dxa" w:w="46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val="false"/>
                <w:bCs w:val="false"/>
                <w:color w:val="0F172A"/>
                <w:sz w:val="20"/>
                <w:szCs w:val="20"/>
              </w:rPr>
              <w:t xml:space="preserve">LLM / AI Feature Testing</w:t>
            </w:r>
          </w:p>
        </w:tc>
        <w:tc>
          <w:tcPr>
            <w:tcW w:type="dxa" w:w="234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bCs/>
                <w:color w:val="2563EB"/>
                <w:sz w:val="20"/>
                <w:szCs w:val="20"/>
              </w:rPr>
              <w:t xml:space="preserve">9.5 / 10 (roadmap)</w:t>
            </w:r>
          </w:p>
        </w:tc>
        <w:tc>
          <w:tcPr>
            <w:tcW w:type="dxa" w:w="234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bCs/>
                <w:color w:val="F59E0B"/>
                <w:sz w:val="20"/>
                <w:szCs w:val="20"/>
              </w:rPr>
              <w:t xml:space="preserve">0 / 10</w:t>
            </w:r>
          </w:p>
        </w:tc>
      </w:tr>
      <w:tr>
        <w:tc>
          <w:tcPr>
            <w:tcW w:type="dxa" w:w="46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0F172A"/>
                <w:sz w:val="20"/>
                <w:szCs w:val="20"/>
              </w:rPr>
              <w:t xml:space="preserve">Compliance Automation</w:t>
            </w:r>
          </w:p>
        </w:tc>
        <w:tc>
          <w:tcPr>
            <w:tcW w:type="dxa" w:w="234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2563EB"/>
                <w:sz w:val="20"/>
                <w:szCs w:val="20"/>
              </w:rPr>
              <w:t xml:space="preserve">9 / 10 (roadmap)</w:t>
            </w:r>
          </w:p>
        </w:tc>
        <w:tc>
          <w:tcPr>
            <w:tcW w:type="dxa" w:w="234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F59E0B"/>
                <w:sz w:val="20"/>
                <w:szCs w:val="20"/>
              </w:rPr>
              <w:t xml:space="preserve">3 / 10</w:t>
            </w:r>
          </w:p>
        </w:tc>
      </w:tr>
      <w:tr>
        <w:tc>
          <w:tcPr>
            <w:tcW w:type="dxa" w:w="46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val="false"/>
                <w:bCs w:val="false"/>
                <w:color w:val="0F172A"/>
                <w:sz w:val="20"/>
                <w:szCs w:val="20"/>
              </w:rPr>
              <w:t xml:space="preserve">Production Monitoring</w:t>
            </w:r>
          </w:p>
        </w:tc>
        <w:tc>
          <w:tcPr>
            <w:tcW w:type="dxa" w:w="234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bCs/>
                <w:color w:val="2563EB"/>
                <w:sz w:val="20"/>
                <w:szCs w:val="20"/>
              </w:rPr>
              <w:t xml:space="preserve">9 / 10 (roadmap)</w:t>
            </w:r>
          </w:p>
        </w:tc>
        <w:tc>
          <w:tcPr>
            <w:tcW w:type="dxa" w:w="234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b/>
                <w:bCs/>
                <w:color w:val="F59E0B"/>
                <w:sz w:val="20"/>
                <w:szCs w:val="20"/>
              </w:rPr>
              <w:t xml:space="preserve">2 / 10</w:t>
            </w:r>
          </w:p>
        </w:tc>
      </w:tr>
    </w:tbl>
    <w:p>
      <w:pPr>
        <w:spacing w:after="0" w:before="240"/>
      </w:pPr>
      <w:r>
        <w:t xml:space="preserve"/>
      </w:r>
    </w:p>
    <w:p>
      <w:pPr>
        <w:spacing w:after="0" w:before="240"/>
        <w:jc w:val="center"/>
      </w:pPr>
      <w:r>
        <w:rPr>
          <w:rFonts w:ascii="Arial" w:cs="Arial" w:eastAsia="Arial" w:hAnsi="Arial"/>
          <w:b/>
          <w:bCs/>
          <w:i/>
          <w:iCs/>
          <w:color w:val="1B3A6B"/>
          <w:sz w:val="26"/>
          <w:szCs w:val="26"/>
        </w:rPr>
        <w:t xml:space="preserve">PROVA Golden Thread — From the First Pixel to the Final Release.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8"/>
      </w:pBdr>
      <w:jc w:val="center"/>
    </w:pPr>
    <w:r>
      <w:rPr>
        <w:rFonts w:ascii="Arial" w:cs="Arial" w:eastAsia="Arial" w:hAnsi="Arial"/>
        <w:color w:val="94A3B8"/>
        <w:sz w:val="16"/>
        <w:szCs w:val="16"/>
      </w:rPr>
      <w:t xml:space="preserve">prova.ai  |  PVAI  |  Design to Production — 100% Accuracy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8"/>
      </w:pBdr>
      <w:jc w:val="right"/>
    </w:pPr>
    <w:r>
      <w:rPr>
        <w:rFonts w:ascii="Arial" w:cs="Arial" w:eastAsia="Arial" w:hAnsi="Arial"/>
        <w:color w:val="94A3B8"/>
        <w:sz w:val="16"/>
        <w:szCs w:val="16"/>
      </w:rPr>
      <w:t xml:space="preserve">PROVA — Golden Thread Traceability  |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2026-06-07T10:30:25.365Z</dcterms:created>
  <dcterms:modified xsi:type="dcterms:W3CDTF">2026-06-07T10:30:25.377Z</dcterms:modified>
</cp:coreProperties>
</file>

<file path=docProps/custom.xml><?xml version="1.0" encoding="utf-8"?>
<Properties xmlns="http://schemas.openxmlformats.org/officeDocument/2006/custom-properties" xmlns:vt="http://schemas.openxmlformats.org/officeDocument/2006/docPropsVTypes"/>
</file>