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B3A6B"/>
          <w:sz w:val="80"/>
          <w:szCs w:val="80"/>
        </w:rPr>
        <w:t xml:space="preserve">PROVA</w:t>
      </w:r>
    </w:p>
    <w:p>
      <w:pPr>
        <w:spacing w:after="60" w:before="0"/>
        <w:jc w:val="center"/>
      </w:pPr>
      <w:r>
        <w:rPr>
          <w:rFonts w:ascii="Arial" w:cs="Arial" w:eastAsia="Arial" w:hAnsi="Arial"/>
          <w:b/>
          <w:bCs/>
          <w:color w:val="2563EB"/>
          <w:sz w:val="36"/>
          <w:szCs w:val="36"/>
        </w:rPr>
        <w:t xml:space="preserve">Universal Multi-Role, Multi-Environment Testing Platform</w:t>
      </w:r>
    </w:p>
    <w:p>
      <w:pPr>
        <w:spacing w:after="300" w:before="0"/>
        <w:jc w:val="center"/>
      </w:pPr>
      <w:r>
        <w:rPr>
          <w:rFonts w:ascii="Arial" w:cs="Arial" w:eastAsia="Arial" w:hAnsi="Arial"/>
          <w:color w:val="475569"/>
          <w:sz w:val="24"/>
          <w:szCs w:val="24"/>
        </w:rPr>
        <w:t xml:space="preserve">Built-in Test Data Store · Dev · QE · UAT · Staging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200"/>
              <w:left w:type="dxa" w:w="320"/>
              <w:bottom w:type="dxa" w:w="200"/>
              <w:right w:type="dxa" w:w="320"/>
            </w:tcMar>
          </w:tcPr>
          <w:p>
            <w:pPr>
              <w:spacing w:after="100" w:before="0"/>
              <w:jc w:val="center"/>
            </w:pPr>
            <w:r>
              <w:rPr>
                <w:rFonts w:ascii="Arial" w:cs="Arial" w:eastAsia="Arial" w:hAnsi="Arial"/>
                <w:b/>
                <w:bCs/>
                <w:color w:val="1B3A6B"/>
                <w:sz w:val="22"/>
                <w:szCs w:val="22"/>
              </w:rPr>
              <w:t xml:space="preserve">THE PROVA UNIVERSAL PROMISE</w:t>
            </w:r>
          </w:p>
          <w:p>
            <w:pPr>
              <w:spacing w:after="60" w:before="0"/>
              <w:jc w:val="center"/>
            </w:pPr>
            <w:r>
              <w:rPr>
                <w:rFonts w:ascii="Arial" w:cs="Arial" w:eastAsia="Arial" w:hAnsi="Arial"/>
                <w:i/>
                <w:iCs/>
                <w:color w:val="2563EB"/>
                <w:sz w:val="20"/>
                <w:szCs w:val="20"/>
              </w:rPr>
              <w:t xml:space="preserve">One platform. Every role. Every environment. One source of truth.</w:t>
            </w:r>
          </w:p>
          <w:p>
            <w:pPr>
              <w:spacing w:after="0" w:before="0"/>
              <w:jc w:val="center"/>
            </w:pPr>
            <w:r>
              <w:rPr>
                <w:rFonts w:ascii="Arial" w:cs="Arial" w:eastAsia="Arial" w:hAnsi="Arial"/>
                <w:color w:val="475569"/>
                <w:sz w:val="19"/>
                <w:szCs w:val="19"/>
              </w:rPr>
              <w:t xml:space="preserve">Developers test their own code. QE validates against specs. POs run UAT. All against the same data, same truth, same chain.</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Vision — One Platform, Every Role, Every Environment</w:t>
      </w:r>
    </w:p>
    <w:p>
      <w:pPr>
        <w:spacing w:after="80" w:before="60"/>
      </w:pPr>
      <w:r>
        <w:rPr>
          <w:rFonts w:ascii="Arial" w:cs="Arial" w:eastAsia="Arial" w:hAnsi="Arial"/>
          <w:color w:val="0F172A"/>
          <w:sz w:val="22"/>
          <w:szCs w:val="22"/>
        </w:rPr>
        <w:t xml:space="preserve">Traditional QE tools are built for one team: the QA engineers. Developers use separate unit testing frameworks. Product Owners use separate UAT tools. Business stakeholders use spreadsheets and email. The result is fragmented evidence, duplicated effort, and a quality picture that nobody can see end to end.</w:t>
      </w:r>
    </w:p>
    <w:p>
      <w:pPr>
        <w:spacing w:after="0" w:before="120"/>
      </w:pPr>
      <w:r>
        <w:t xml:space="preserve"/>
      </w:r>
    </w:p>
    <w:p>
      <w:pPr>
        <w:spacing w:after="80" w:before="60"/>
      </w:pPr>
      <w:r>
        <w:rPr>
          <w:rFonts w:ascii="Arial" w:cs="Arial" w:eastAsia="Arial" w:hAnsi="Arial"/>
          <w:color w:val="0F172A"/>
          <w:sz w:val="22"/>
          <w:szCs w:val="22"/>
        </w:rPr>
        <w:t xml:space="preserve">PROVA breaks this model entirely. The same platform — the same knowledge graph, the same test data store, the same Golden Thread — serves every team simultaneously. Each role gets a tailored view and a set of tools appropriate for their expertise. But the underlying data, the test results, the traceability chain, and the release decision are shared and visible to everyone.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Three Roles — One Platform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9488" w:sz="4"/>
              <w:left w:val="single" w:color="0D9488" w:sz="4"/>
              <w:bottom w:val="single" w:color="0D9488" w:sz="4"/>
              <w:right w:val="single" w:color="0D9488" w:sz="4"/>
            </w:tcBorders>
            <w:shd w:fill="0D9488" w:val="clear"/>
            <w:tcMar>
              <w:top w:type="dxa" w:w="140"/>
              <w:left w:type="dxa" w:w="120"/>
              <w:bottom w:type="dxa" w:w="140"/>
              <w:right w:type="dxa" w:w="120"/>
            </w:tcMar>
          </w:tcPr>
          <w:p>
            <w:pPr>
              <w:spacing w:after="40" w:before="0"/>
              <w:jc w:val="center"/>
            </w:pPr>
            <w:r>
              <w:rPr>
                <w:rFonts w:ascii="Arial" w:cs="Arial" w:eastAsia="Arial" w:hAnsi="Arial"/>
                <w:sz w:val="28"/>
                <w:szCs w:val="28"/>
              </w:rPr>
              <w:t xml:space="preserve">👩‍💻</w:t>
            </w:r>
          </w:p>
          <w:p>
            <w:pPr>
              <w:spacing w:after="30" w:before="0"/>
              <w:jc w:val="center"/>
            </w:pPr>
            <w:r>
              <w:rPr>
                <w:rFonts w:ascii="Arial" w:cs="Arial" w:eastAsia="Arial" w:hAnsi="Arial"/>
                <w:b/>
                <w:bCs/>
                <w:color w:val="FFFFFF"/>
                <w:sz w:val="20"/>
                <w:szCs w:val="20"/>
              </w:rPr>
              <w:t xml:space="preserve">Developers</w:t>
            </w:r>
          </w:p>
          <w:p>
            <w:pPr>
              <w:spacing w:after="0" w:before="0"/>
              <w:jc w:val="center"/>
            </w:pPr>
            <w:r>
              <w:rPr>
                <w:rFonts w:ascii="Arial" w:cs="Arial" w:eastAsia="Arial" w:hAnsi="Arial"/>
                <w:i/>
                <w:iCs/>
                <w:color w:val="FFFFFF"/>
                <w:sz w:val="17"/>
                <w:szCs w:val="17"/>
              </w:rPr>
              <w:t xml:space="preserve">DEV Environment</w:t>
            </w:r>
          </w:p>
        </w:tc>
        <w:tc>
          <w:tcPr>
            <w:tcW w:type="dxa" w:w="3120"/>
            <w:tcBorders>
              <w:top w:val="single" w:color="2563EB" w:sz="4"/>
              <w:left w:val="single" w:color="2563EB" w:sz="4"/>
              <w:bottom w:val="single" w:color="2563EB" w:sz="4"/>
              <w:right w:val="single" w:color="2563EB" w:sz="4"/>
            </w:tcBorders>
            <w:shd w:fill="2563EB" w:val="clear"/>
            <w:tcMar>
              <w:top w:type="dxa" w:w="140"/>
              <w:left w:type="dxa" w:w="120"/>
              <w:bottom w:type="dxa" w:w="140"/>
              <w:right w:type="dxa" w:w="120"/>
            </w:tcMar>
          </w:tcPr>
          <w:p>
            <w:pPr>
              <w:spacing w:after="40" w:before="0"/>
              <w:jc w:val="center"/>
            </w:pPr>
            <w:r>
              <w:rPr>
                <w:rFonts w:ascii="Arial" w:cs="Arial" w:eastAsia="Arial" w:hAnsi="Arial"/>
                <w:sz w:val="28"/>
                <w:szCs w:val="28"/>
              </w:rPr>
              <w:t xml:space="preserve">🔍</w:t>
            </w:r>
          </w:p>
          <w:p>
            <w:pPr>
              <w:spacing w:after="30" w:before="0"/>
              <w:jc w:val="center"/>
            </w:pPr>
            <w:r>
              <w:rPr>
                <w:rFonts w:ascii="Arial" w:cs="Arial" w:eastAsia="Arial" w:hAnsi="Arial"/>
                <w:b/>
                <w:bCs/>
                <w:color w:val="FFFFFF"/>
                <w:sz w:val="20"/>
                <w:szCs w:val="20"/>
              </w:rPr>
              <w:t xml:space="preserve">QE / BSM Teams</w:t>
            </w:r>
          </w:p>
          <w:p>
            <w:pPr>
              <w:spacing w:after="0" w:before="0"/>
              <w:jc w:val="center"/>
            </w:pPr>
            <w:r>
              <w:rPr>
                <w:rFonts w:ascii="Arial" w:cs="Arial" w:eastAsia="Arial" w:hAnsi="Arial"/>
                <w:i/>
                <w:iCs/>
                <w:color w:val="FFFFFF"/>
                <w:sz w:val="17"/>
                <w:szCs w:val="17"/>
              </w:rPr>
              <w:t xml:space="preserve">QE Environment</w:t>
            </w:r>
          </w:p>
        </w:tc>
        <w:tc>
          <w:tcPr>
            <w:tcW w:type="dxa" w:w="3120"/>
            <w:tcBorders>
              <w:top w:val="single" w:color="7C3AED" w:sz="4"/>
              <w:left w:val="single" w:color="7C3AED" w:sz="4"/>
              <w:bottom w:val="single" w:color="7C3AED" w:sz="4"/>
              <w:right w:val="single" w:color="7C3AED" w:sz="4"/>
            </w:tcBorders>
            <w:shd w:fill="7C3AED" w:val="clear"/>
            <w:tcMar>
              <w:top w:type="dxa" w:w="140"/>
              <w:left w:type="dxa" w:w="120"/>
              <w:bottom w:type="dxa" w:w="140"/>
              <w:right w:type="dxa" w:w="120"/>
            </w:tcMar>
          </w:tcPr>
          <w:p>
            <w:pPr>
              <w:spacing w:after="40" w:before="0"/>
              <w:jc w:val="center"/>
            </w:pPr>
            <w:r>
              <w:rPr>
                <w:rFonts w:ascii="Arial" w:cs="Arial" w:eastAsia="Arial" w:hAnsi="Arial"/>
                <w:sz w:val="28"/>
                <w:szCs w:val="28"/>
              </w:rPr>
              <w:t xml:space="preserve">👔</w:t>
            </w:r>
          </w:p>
          <w:p>
            <w:pPr>
              <w:spacing w:after="30" w:before="0"/>
              <w:jc w:val="center"/>
            </w:pPr>
            <w:r>
              <w:rPr>
                <w:rFonts w:ascii="Arial" w:cs="Arial" w:eastAsia="Arial" w:hAnsi="Arial"/>
                <w:b/>
                <w:bCs/>
                <w:color w:val="FFFFFF"/>
                <w:sz w:val="20"/>
                <w:szCs w:val="20"/>
              </w:rPr>
              <w:t xml:space="preserve">POs / Stakeholders</w:t>
            </w:r>
          </w:p>
          <w:p>
            <w:pPr>
              <w:spacing w:after="0" w:before="0"/>
              <w:jc w:val="center"/>
            </w:pPr>
            <w:r>
              <w:rPr>
                <w:rFonts w:ascii="Arial" w:cs="Arial" w:eastAsia="Arial" w:hAnsi="Arial"/>
                <w:i/>
                <w:iCs/>
                <w:color w:val="FFFFFF"/>
                <w:sz w:val="17"/>
                <w:szCs w:val="17"/>
              </w:rPr>
              <w:t xml:space="preserve">UAT Environment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Do in PROVA</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Developers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Write and run unit tests. Validate API contracts. Test components in isolation. PROVA provides the test data, the knowledge graph rules, and the CI integration. Developer tests contribute to the shared Golden Thread.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 / BSM Teams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 full flow tests against FRD specs. Validate prototype-to-production match. Execute exploratory testing. Approve releases. PROVA generates tests from JIRA AC, runs them against the QE environment, and produces the formal evidence record.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Product Owners / Stakeholders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 business scenario validation in UAT. Review feature behavior against what was designed. Approve or reject from PROVA Studio with no technical knowledge required. UAT sign-off is formally recorded in the Golden Thread.</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Built-In Test Data Store — Connecting All DBs</w:t>
      </w:r>
    </w:p>
    <w:p>
      <w:pPr>
        <w:spacing w:after="80" w:before="60"/>
      </w:pPr>
      <w:r>
        <w:rPr>
          <w:rFonts w:ascii="Arial" w:cs="Arial" w:eastAsia="Arial" w:hAnsi="Arial"/>
          <w:color w:val="0F172A"/>
          <w:sz w:val="22"/>
          <w:szCs w:val="22"/>
        </w:rPr>
        <w:t xml:space="preserve">The PROVA Test Data Store is a persistent, versioned, role-aware repository of all test data used across every environment and every team. It is not a temporary cache — it is a first-class data platform that connects to every database in the organisation, manages data lifecycles, and provides self-service data access to every team without filing tickets or waiting for a DBA.</w:t>
      </w:r>
    </w:p>
    <w:p>
      <w:pPr>
        <w:spacing w:after="0" w:before="120"/>
      </w:pPr>
      <w:r>
        <w:t xml:space="preserve"/>
      </w:r>
    </w:p>
    <w:p>
      <w:pPr>
        <w:spacing w:after="80" w:before="60"/>
      </w:pPr>
      <w:r>
        <w:rPr>
          <w:rFonts w:ascii="Arial" w:cs="Arial" w:eastAsia="Arial" w:hAnsi="Arial"/>
          <w:color w:val="0F172A"/>
          <w:sz w:val="22"/>
          <w:szCs w:val="22"/>
        </w:rPr>
        <w:t xml:space="preserve">Research confirms the scale of this problem: enterprise teams without automated test data management report average wait times of 3.5 days for test data provisioning, 62% of flaky test failures trace to data issues, and compliance audits regularly find unmasked PII in staging environments. PROVA eliminates all three problems structurally.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Database Connection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0D9488" w:val="clear"/>
            <w:tcMar>
              <w:top w:type="dxa" w:w="80"/>
              <w:left w:type="dxa" w:w="200"/>
              <w:bottom w:type="dxa" w:w="80"/>
              <w:right w:type="dxa" w:w="200"/>
            </w:tcMar>
          </w:tcPr>
          <w:p>
            <w:r>
              <w:rPr>
                <w:rFonts w:ascii="Arial" w:cs="Arial" w:eastAsia="Arial" w:hAnsi="Arial"/>
                <w:b/>
                <w:bCs/>
                <w:color w:val="FFFFFF"/>
                <w:sz w:val="20"/>
                <w:szCs w:val="20"/>
              </w:rPr>
              <w:t xml:space="preserve">SUPPORTED DB CONNECTORS — ALL FREE/OPEN SOURCE DRIVERS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RELATIONAL:</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PostgreSQL    → pg (node-postgres)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MySQL/MariaDB → mysql2</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MS SQL Server → mssql</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Oracle DB     → oracledb (thin mode, no client install)</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SQLite        → better-sqlite3 (local dev, zero setup)</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NOSQL:</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MongoDB       → mongoose / mongodb driver</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DynamoDB      → AWS SDK v3 (zero license cost)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Firestore     → Firebase Admin SDK (free tier)</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Redis         → ioredis (cache + session data)</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 WAREHOUSE: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Snowflake     → snowflake-sdk</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BigQuery      → @google-cloud/bigquery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Redshift      → pg driver (Redshift is Postgres-compatible)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STREAMING:</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Kafka         → kafkajs (event-driven app testing)</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RabbitMQ      → amqplib</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ALL: Read-only connection to production replica.</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Read-write connection to test environment DB.</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Credentials from env vars — never hardcoded.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Four Data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Layer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Is and When to Use It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Layer 1 — Persistent Datasets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Long-lived data sets that survive across runs. Shared baseline: standard user accounts, product catalog, configuration data. Versioned alongside the application — v1.0 data for v1.0 tests, v1.1 data for v1.1 tests. Never modified by test runs — read-only baseline.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Layer 2 — Cloned Production Data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Subset of real production data, anonymized by the AI PII engine. Stored per-version in the test data store. Refreshed on a schedule (weekly or on-demand). The most realistic data source — real shapes, real volumes, real edge cases. GDPR/HIPAA compliant.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Layer 3 — Synthetic Scenario Data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AI-generated data for specific test scenarios. Requirement-linked — each data set generated to satisfy specific JIRA ACs. Stored and reusable — generate once, run many times. Boundary values automatically included. Updated when business rules change in the knowledge graph.</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Layer 4 — Session Data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Created at run start, destroyed at run end. Isolated per-worker in parallel runs. Cannot contaminate persistent or cloned data. Automatically cleaned even if the run crashes. Fully automated lifecycle — no manual cleanup ever.</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Self-Service Data Access — No Ticket, No DBA, No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DATA REQUEST EXAMPLES — ANY TEAM, ANY TIME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Developer running unit test: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data get --profile premium-user --env dev</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Returns: connection string + seed SQL for that scenario</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Time: &lt; 2 seconds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 running full checkout flow:</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data provision --scenario checkout-full --env qe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Provisions: user, cart, products, addresses, payment methods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Time: &lt; 10 seconds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PO running UAT: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 Studio: Select "Standard checkout scenario" from dropdown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Data provisioned automatically before UAT session starts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Time: &lt; 5 seconds, zero technical knowledge required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Stakeholder running exploratory UAT: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 Studio: "Load real-looking data for my UAT session"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Anonymized prod-clone data loaded to UAT environment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PO sees realistic orders, realistic product names, real pricing</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Data Store Versioning — Aligned With Application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 Aspect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v1.0 datasets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data sets used for v1.0 testing. Frozen when v1.0 approved. Available for regression comparison.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v1.1 datasets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Inherits all v1.0 data sets. Adds new data sets required for v1.1 features (Apple Pay scenarios). Modified data sets updated for changed business rules.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Cross-version comparison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 v1.0 flow against v1.1 data to detect regressions. Run v1.1 flow against v1.0 data to validate backward compatibility.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Audit trail</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data set records: created by, created when, used in which runs, cleaned up when. Full compliance audit trail per dataset.</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Multi-Environment Architecture — Dev Through Production</w:t>
      </w:r>
    </w:p>
    <w:p>
      <w:pPr>
        <w:spacing w:after="80" w:before="60"/>
      </w:pPr>
      <w:r>
        <w:rPr>
          <w:rFonts w:ascii="Arial" w:cs="Arial" w:eastAsia="Arial" w:hAnsi="Arial"/>
          <w:color w:val="0F172A"/>
          <w:sz w:val="22"/>
          <w:szCs w:val="22"/>
        </w:rPr>
        <w:t xml:space="preserve">PROVA runs tests in every environment across the delivery pipeline. Each environment has a specific purpose, a specific team ownership, and a specific set of tests appropriate for that stage. The same PROVA knowledge graph, the same test definitions, and the same data store power all environments — only the target URL and data profile change.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Five-Environment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D9488" w:sz="4"/>
              <w:left w:val="single" w:color="0D9488" w:sz="4"/>
              <w:bottom w:val="single" w:color="0D9488" w:sz="4"/>
              <w:right w:val="single" w:color="0D9488" w:sz="4"/>
            </w:tcBorders>
            <w:shd w:fill="0D9488" w:val="clear"/>
            <w:tcMar>
              <w:top w:type="dxa" w:w="100"/>
              <w:left w:type="dxa" w:w="80"/>
              <w:bottom w:type="dxa" w:w="100"/>
              <w:right w:type="dxa" w:w="80"/>
            </w:tcMar>
          </w:tcPr>
          <w:p>
            <w:pPr>
              <w:spacing w:after="40" w:before="0"/>
              <w:jc w:val="center"/>
            </w:pPr>
            <w:r>
              <w:rPr>
                <w:rFonts w:ascii="Arial" w:cs="Arial" w:eastAsia="Arial" w:hAnsi="Arial"/>
                <w:b/>
                <w:bCs/>
                <w:color w:val="FFFFFF"/>
                <w:sz w:val="28"/>
                <w:szCs w:val="28"/>
              </w:rPr>
              <w:t xml:space="preserve">DEV</w:t>
            </w:r>
          </w:p>
          <w:p>
            <w:pPr>
              <w:spacing w:after="0" w:before="0"/>
              <w:jc w:val="center"/>
            </w:pPr>
            <w:r>
              <w:rPr>
                <w:rFonts w:ascii="Arial" w:cs="Arial" w:eastAsia="Arial" w:hAnsi="Arial"/>
                <w:color w:val="FFFFFF"/>
                <w:sz w:val="17"/>
                <w:szCs w:val="17"/>
              </w:rPr>
              <w:t xml:space="preserve">Developers</w:t>
            </w:r>
          </w:p>
        </w:tc>
        <w:tc>
          <w:tcPr>
            <w:tcW w:type="dxa" w:w="1872"/>
            <w:tcBorders>
              <w:top w:val="single" w:color="2563EB" w:sz="4"/>
              <w:left w:val="single" w:color="2563EB" w:sz="4"/>
              <w:bottom w:val="single" w:color="2563EB" w:sz="4"/>
              <w:right w:val="single" w:color="2563EB" w:sz="4"/>
            </w:tcBorders>
            <w:shd w:fill="2563EB" w:val="clear"/>
            <w:tcMar>
              <w:top w:type="dxa" w:w="100"/>
              <w:left w:type="dxa" w:w="80"/>
              <w:bottom w:type="dxa" w:w="100"/>
              <w:right w:type="dxa" w:w="80"/>
            </w:tcMar>
          </w:tcPr>
          <w:p>
            <w:pPr>
              <w:spacing w:after="40" w:before="0"/>
              <w:jc w:val="center"/>
            </w:pPr>
            <w:r>
              <w:rPr>
                <w:rFonts w:ascii="Arial" w:cs="Arial" w:eastAsia="Arial" w:hAnsi="Arial"/>
                <w:b/>
                <w:bCs/>
                <w:color w:val="FFFFFF"/>
                <w:sz w:val="28"/>
                <w:szCs w:val="28"/>
              </w:rPr>
              <w:t xml:space="preserve">QE</w:t>
            </w:r>
          </w:p>
          <w:p>
            <w:pPr>
              <w:spacing w:after="0" w:before="0"/>
              <w:jc w:val="center"/>
            </w:pPr>
            <w:r>
              <w:rPr>
                <w:rFonts w:ascii="Arial" w:cs="Arial" w:eastAsia="Arial" w:hAnsi="Arial"/>
                <w:color w:val="FFFFFF"/>
                <w:sz w:val="17"/>
                <w:szCs w:val="17"/>
              </w:rPr>
              <w:t xml:space="preserve">QE / BSM</w:t>
            </w:r>
          </w:p>
        </w:tc>
        <w:tc>
          <w:tcPr>
            <w:tcW w:type="dxa" w:w="1872"/>
            <w:tcBorders>
              <w:top w:val="single" w:color="7C3AED" w:sz="4"/>
              <w:left w:val="single" w:color="7C3AED" w:sz="4"/>
              <w:bottom w:val="single" w:color="7C3AED" w:sz="4"/>
              <w:right w:val="single" w:color="7C3AED" w:sz="4"/>
            </w:tcBorders>
            <w:shd w:fill="7C3AED" w:val="clear"/>
            <w:tcMar>
              <w:top w:type="dxa" w:w="100"/>
              <w:left w:type="dxa" w:w="80"/>
              <w:bottom w:type="dxa" w:w="100"/>
              <w:right w:type="dxa" w:w="80"/>
            </w:tcMar>
          </w:tcPr>
          <w:p>
            <w:pPr>
              <w:spacing w:after="40" w:before="0"/>
              <w:jc w:val="center"/>
            </w:pPr>
            <w:r>
              <w:rPr>
                <w:rFonts w:ascii="Arial" w:cs="Arial" w:eastAsia="Arial" w:hAnsi="Arial"/>
                <w:b/>
                <w:bCs/>
                <w:color w:val="FFFFFF"/>
                <w:sz w:val="28"/>
                <w:szCs w:val="28"/>
              </w:rPr>
              <w:t xml:space="preserve">UAT</w:t>
            </w:r>
          </w:p>
          <w:p>
            <w:pPr>
              <w:spacing w:after="0" w:before="0"/>
              <w:jc w:val="center"/>
            </w:pPr>
            <w:r>
              <w:rPr>
                <w:rFonts w:ascii="Arial" w:cs="Arial" w:eastAsia="Arial" w:hAnsi="Arial"/>
                <w:color w:val="FFFFFF"/>
                <w:sz w:val="17"/>
                <w:szCs w:val="17"/>
              </w:rPr>
              <w:t xml:space="preserve">PO / Stakeholders</w:t>
            </w:r>
          </w:p>
        </w:tc>
        <w:tc>
          <w:tcPr>
            <w:tcW w:type="dxa" w:w="1872"/>
            <w:tcBorders>
              <w:top w:val="single" w:color="F59E0B" w:sz="4"/>
              <w:left w:val="single" w:color="F59E0B" w:sz="4"/>
              <w:bottom w:val="single" w:color="F59E0B" w:sz="4"/>
              <w:right w:val="single" w:color="F59E0B" w:sz="4"/>
            </w:tcBorders>
            <w:shd w:fill="F59E0B" w:val="clear"/>
            <w:tcMar>
              <w:top w:type="dxa" w:w="100"/>
              <w:left w:type="dxa" w:w="80"/>
              <w:bottom w:type="dxa" w:w="100"/>
              <w:right w:type="dxa" w:w="80"/>
            </w:tcMar>
          </w:tcPr>
          <w:p>
            <w:pPr>
              <w:spacing w:after="40" w:before="0"/>
              <w:jc w:val="center"/>
            </w:pPr>
            <w:r>
              <w:rPr>
                <w:rFonts w:ascii="Arial" w:cs="Arial" w:eastAsia="Arial" w:hAnsi="Arial"/>
                <w:b/>
                <w:bCs/>
                <w:color w:val="FFFFFF"/>
                <w:sz w:val="28"/>
                <w:szCs w:val="28"/>
              </w:rPr>
              <w:t xml:space="preserve">STAGING</w:t>
            </w:r>
          </w:p>
          <w:p>
            <w:pPr>
              <w:spacing w:after="0" w:before="0"/>
              <w:jc w:val="center"/>
            </w:pPr>
            <w:r>
              <w:rPr>
                <w:rFonts w:ascii="Arial" w:cs="Arial" w:eastAsia="Arial" w:hAnsi="Arial"/>
                <w:color w:val="FFFFFF"/>
                <w:sz w:val="17"/>
                <w:szCs w:val="17"/>
              </w:rPr>
              <w:t xml:space="preserve">All Teams</w:t>
            </w:r>
          </w:p>
        </w:tc>
        <w:tc>
          <w:tcPr>
            <w:tcW w:type="dxa" w:w="1872"/>
            <w:tcBorders>
              <w:top w:val="single" w:color="10B981" w:sz="4"/>
              <w:left w:val="single" w:color="10B981" w:sz="4"/>
              <w:bottom w:val="single" w:color="10B981" w:sz="4"/>
              <w:right w:val="single" w:color="10B981" w:sz="4"/>
            </w:tcBorders>
            <w:shd w:fill="10B981" w:val="clear"/>
            <w:tcMar>
              <w:top w:type="dxa" w:w="100"/>
              <w:left w:type="dxa" w:w="80"/>
              <w:bottom w:type="dxa" w:w="100"/>
              <w:right w:type="dxa" w:w="80"/>
            </w:tcMar>
          </w:tcPr>
          <w:p>
            <w:pPr>
              <w:spacing w:after="40" w:before="0"/>
              <w:jc w:val="center"/>
            </w:pPr>
            <w:r>
              <w:rPr>
                <w:rFonts w:ascii="Arial" w:cs="Arial" w:eastAsia="Arial" w:hAnsi="Arial"/>
                <w:b/>
                <w:bCs/>
                <w:color w:val="FFFFFF"/>
                <w:sz w:val="28"/>
                <w:szCs w:val="28"/>
              </w:rPr>
              <w:t xml:space="preserve">PROD</w:t>
            </w:r>
          </w:p>
          <w:p>
            <w:pPr>
              <w:spacing w:after="0" w:before="0"/>
              <w:jc w:val="center"/>
            </w:pPr>
            <w:r>
              <w:rPr>
                <w:rFonts w:ascii="Arial" w:cs="Arial" w:eastAsia="Arial" w:hAnsi="Arial"/>
                <w:color w:val="FFFFFF"/>
                <w:sz w:val="17"/>
                <w:szCs w:val="17"/>
              </w:rPr>
              <w:t xml:space="preserve">Monitoring</w:t>
            </w:r>
          </w:p>
        </w:tc>
      </w:tr>
      <w:tr>
        <w:tc>
          <w:tcPr>
            <w:tcW w:type="dxa" w:w="1872"/>
            <w:tcBorders>
              <w:top w:val="single" w:color="0D9488" w:sz="4"/>
              <w:left w:val="single" w:color="0D9488" w:sz="4"/>
              <w:bottom w:val="single" w:color="0D9488" w:sz="4"/>
              <w:right w:val="single" w:color="0D9488" w:sz="4"/>
            </w:tcBorders>
            <w:shd w:fill="F1F5F9" w:val="clear"/>
            <w:tcMar>
              <w:top w:type="dxa" w:w="80"/>
              <w:left w:type="dxa" w:w="80"/>
              <w:bottom w:type="dxa" w:w="80"/>
              <w:right w:type="dxa" w:w="80"/>
            </w:tcMar>
          </w:tcPr>
          <w:p>
            <w:pPr>
              <w:spacing w:after="0" w:before="20"/>
              <w:jc w:val="center"/>
            </w:pPr>
            <w:r>
              <w:rPr>
                <w:rFonts w:ascii="Arial" w:cs="Arial" w:eastAsia="Arial" w:hAnsi="Arial"/>
                <w:color w:val="475569"/>
                <w:sz w:val="18"/>
                <w:szCs w:val="18"/>
              </w:rPr>
              <w:t xml:space="preserve">Unit tests</w:t>
            </w:r>
          </w:p>
          <w:p>
            <w:pPr>
              <w:spacing w:after="0" w:before="20"/>
              <w:jc w:val="center"/>
            </w:pPr>
            <w:r>
              <w:rPr>
                <w:rFonts w:ascii="Arial" w:cs="Arial" w:eastAsia="Arial" w:hAnsi="Arial"/>
                <w:color w:val="475569"/>
                <w:sz w:val="18"/>
                <w:szCs w:val="18"/>
              </w:rPr>
              <w:t xml:space="preserve">Component tests</w:t>
            </w:r>
          </w:p>
          <w:p>
            <w:pPr>
              <w:spacing w:after="0" w:before="20"/>
              <w:jc w:val="center"/>
            </w:pPr>
            <w:r>
              <w:rPr>
                <w:rFonts w:ascii="Arial" w:cs="Arial" w:eastAsia="Arial" w:hAnsi="Arial"/>
                <w:color w:val="475569"/>
                <w:sz w:val="18"/>
                <w:szCs w:val="18"/>
              </w:rPr>
              <w:t xml:space="preserve">API contract tests</w:t>
            </w:r>
          </w:p>
        </w:tc>
        <w:tc>
          <w:tcPr>
            <w:tcW w:type="dxa" w:w="1872"/>
            <w:tcBorders>
              <w:top w:val="single" w:color="2563EB" w:sz="4"/>
              <w:left w:val="single" w:color="2563EB" w:sz="4"/>
              <w:bottom w:val="single" w:color="2563EB" w:sz="4"/>
              <w:right w:val="single" w:color="2563EB" w:sz="4"/>
            </w:tcBorders>
            <w:shd w:fill="F1F5F9" w:val="clear"/>
            <w:tcMar>
              <w:top w:type="dxa" w:w="80"/>
              <w:left w:type="dxa" w:w="80"/>
              <w:bottom w:type="dxa" w:w="80"/>
              <w:right w:type="dxa" w:w="80"/>
            </w:tcMar>
          </w:tcPr>
          <w:p>
            <w:pPr>
              <w:spacing w:after="0" w:before="20"/>
              <w:jc w:val="center"/>
            </w:pPr>
            <w:r>
              <w:rPr>
                <w:rFonts w:ascii="Arial" w:cs="Arial" w:eastAsia="Arial" w:hAnsi="Arial"/>
                <w:color w:val="475569"/>
                <w:sz w:val="18"/>
                <w:szCs w:val="18"/>
              </w:rPr>
              <w:t xml:space="preserve">FRD spec tests</w:t>
            </w:r>
          </w:p>
          <w:p>
            <w:pPr>
              <w:spacing w:after="0" w:before="20"/>
              <w:jc w:val="center"/>
            </w:pPr>
            <w:r>
              <w:rPr>
                <w:rFonts w:ascii="Arial" w:cs="Arial" w:eastAsia="Arial" w:hAnsi="Arial"/>
                <w:color w:val="475569"/>
                <w:sz w:val="18"/>
                <w:szCs w:val="18"/>
              </w:rPr>
              <w:t xml:space="preserve">Full flow tests</w:t>
            </w:r>
          </w:p>
          <w:p>
            <w:pPr>
              <w:spacing w:after="0" w:before="20"/>
              <w:jc w:val="center"/>
            </w:pPr>
            <w:r>
              <w:rPr>
                <w:rFonts w:ascii="Arial" w:cs="Arial" w:eastAsia="Arial" w:hAnsi="Arial"/>
                <w:color w:val="475569"/>
                <w:sz w:val="18"/>
                <w:szCs w:val="18"/>
              </w:rPr>
              <w:t xml:space="preserve">Proto comparison</w:t>
            </w:r>
          </w:p>
        </w:tc>
        <w:tc>
          <w:tcPr>
            <w:tcW w:type="dxa" w:w="1872"/>
            <w:tcBorders>
              <w:top w:val="single" w:color="7C3AED" w:sz="4"/>
              <w:left w:val="single" w:color="7C3AED" w:sz="4"/>
              <w:bottom w:val="single" w:color="7C3AED" w:sz="4"/>
              <w:right w:val="single" w:color="7C3AED" w:sz="4"/>
            </w:tcBorders>
            <w:shd w:fill="F1F5F9" w:val="clear"/>
            <w:tcMar>
              <w:top w:type="dxa" w:w="80"/>
              <w:left w:type="dxa" w:w="80"/>
              <w:bottom w:type="dxa" w:w="80"/>
              <w:right w:type="dxa" w:w="80"/>
            </w:tcMar>
          </w:tcPr>
          <w:p>
            <w:pPr>
              <w:spacing w:after="0" w:before="20"/>
              <w:jc w:val="center"/>
            </w:pPr>
            <w:r>
              <w:rPr>
                <w:rFonts w:ascii="Arial" w:cs="Arial" w:eastAsia="Arial" w:hAnsi="Arial"/>
                <w:color w:val="475569"/>
                <w:sz w:val="18"/>
                <w:szCs w:val="18"/>
              </w:rPr>
              <w:t xml:space="preserve">Business scenario</w:t>
            </w:r>
          </w:p>
          <w:p>
            <w:pPr>
              <w:spacing w:after="0" w:before="20"/>
              <w:jc w:val="center"/>
            </w:pPr>
            <w:r>
              <w:rPr>
                <w:rFonts w:ascii="Arial" w:cs="Arial" w:eastAsia="Arial" w:hAnsi="Arial"/>
                <w:color w:val="475569"/>
                <w:sz w:val="18"/>
                <w:szCs w:val="18"/>
              </w:rPr>
              <w:t xml:space="preserve">End-user flows</w:t>
            </w:r>
          </w:p>
          <w:p>
            <w:pPr>
              <w:spacing w:after="0" w:before="20"/>
              <w:jc w:val="center"/>
            </w:pPr>
            <w:r>
              <w:rPr>
                <w:rFonts w:ascii="Arial" w:cs="Arial" w:eastAsia="Arial" w:hAnsi="Arial"/>
                <w:color w:val="475569"/>
                <w:sz w:val="18"/>
                <w:szCs w:val="18"/>
              </w:rPr>
              <w:t xml:space="preserve">Acceptance sign-off</w:t>
            </w:r>
          </w:p>
        </w:tc>
        <w:tc>
          <w:tcPr>
            <w:tcW w:type="dxa" w:w="1872"/>
            <w:tcBorders>
              <w:top w:val="single" w:color="F59E0B" w:sz="4"/>
              <w:left w:val="single" w:color="F59E0B" w:sz="4"/>
              <w:bottom w:val="single" w:color="F59E0B" w:sz="4"/>
              <w:right w:val="single" w:color="F59E0B" w:sz="4"/>
            </w:tcBorders>
            <w:shd w:fill="F1F5F9" w:val="clear"/>
            <w:tcMar>
              <w:top w:type="dxa" w:w="80"/>
              <w:left w:type="dxa" w:w="80"/>
              <w:bottom w:type="dxa" w:w="80"/>
              <w:right w:type="dxa" w:w="80"/>
            </w:tcMar>
          </w:tcPr>
          <w:p>
            <w:pPr>
              <w:spacing w:after="0" w:before="20"/>
              <w:jc w:val="center"/>
            </w:pPr>
            <w:r>
              <w:rPr>
                <w:rFonts w:ascii="Arial" w:cs="Arial" w:eastAsia="Arial" w:hAnsi="Arial"/>
                <w:color w:val="475569"/>
                <w:sz w:val="18"/>
                <w:szCs w:val="18"/>
              </w:rPr>
              <w:t xml:space="preserve">Release candidate</w:t>
            </w:r>
          </w:p>
          <w:p>
            <w:pPr>
              <w:spacing w:after="0" w:before="20"/>
              <w:jc w:val="center"/>
            </w:pPr>
            <w:r>
              <w:rPr>
                <w:rFonts w:ascii="Arial" w:cs="Arial" w:eastAsia="Arial" w:hAnsi="Arial"/>
                <w:color w:val="475569"/>
                <w:sz w:val="18"/>
                <w:szCs w:val="18"/>
              </w:rPr>
              <w:t xml:space="preserve">Full regression</w:t>
            </w:r>
          </w:p>
          <w:p>
            <w:pPr>
              <w:spacing w:after="0" w:before="20"/>
              <w:jc w:val="center"/>
            </w:pPr>
            <w:r>
              <w:rPr>
                <w:rFonts w:ascii="Arial" w:cs="Arial" w:eastAsia="Arial" w:hAnsi="Arial"/>
                <w:color w:val="475569"/>
                <w:sz w:val="18"/>
                <w:szCs w:val="18"/>
              </w:rPr>
              <w:t xml:space="preserve">Performance tests</w:t>
            </w:r>
          </w:p>
        </w:tc>
        <w:tc>
          <w:tcPr>
            <w:tcW w:type="dxa" w:w="1872"/>
            <w:tcBorders>
              <w:top w:val="single" w:color="10B981" w:sz="4"/>
              <w:left w:val="single" w:color="10B981" w:sz="4"/>
              <w:bottom w:val="single" w:color="10B981" w:sz="4"/>
              <w:right w:val="single" w:color="10B981" w:sz="4"/>
            </w:tcBorders>
            <w:shd w:fill="F1F5F9" w:val="clear"/>
            <w:tcMar>
              <w:top w:type="dxa" w:w="80"/>
              <w:left w:type="dxa" w:w="80"/>
              <w:bottom w:type="dxa" w:w="80"/>
              <w:right w:type="dxa" w:w="80"/>
            </w:tcMar>
          </w:tcPr>
          <w:p>
            <w:pPr>
              <w:spacing w:after="0" w:before="20"/>
              <w:jc w:val="center"/>
            </w:pPr>
            <w:r>
              <w:rPr>
                <w:rFonts w:ascii="Arial" w:cs="Arial" w:eastAsia="Arial" w:hAnsi="Arial"/>
                <w:color w:val="475569"/>
                <w:sz w:val="18"/>
                <w:szCs w:val="18"/>
              </w:rPr>
              <w:t xml:space="preserve">Smoke tests</w:t>
            </w:r>
          </w:p>
          <w:p>
            <w:pPr>
              <w:spacing w:after="0" w:before="20"/>
              <w:jc w:val="center"/>
            </w:pPr>
            <w:r>
              <w:rPr>
                <w:rFonts w:ascii="Arial" w:cs="Arial" w:eastAsia="Arial" w:hAnsi="Arial"/>
                <w:color w:val="475569"/>
                <w:sz w:val="18"/>
                <w:szCs w:val="18"/>
              </w:rPr>
              <w:t xml:space="preserve">Synthetic monitoring</w:t>
            </w:r>
          </w:p>
          <w:p>
            <w:pPr>
              <w:spacing w:after="0" w:before="20"/>
              <w:jc w:val="center"/>
            </w:pPr>
            <w:r>
              <w:rPr>
                <w:rFonts w:ascii="Arial" w:cs="Arial" w:eastAsia="Arial" w:hAnsi="Arial"/>
                <w:color w:val="475569"/>
                <w:sz w:val="18"/>
                <w:szCs w:val="18"/>
              </w:rPr>
              <w:t xml:space="preserve">Analytics validation</w:t>
            </w:r>
          </w:p>
        </w:tc>
      </w:tr>
    </w:tbl>
    <w:p>
      <w:pPr>
        <w:spacing w:after="0" w:before="240"/>
      </w:pPr>
      <w:r>
        <w:t xml:space="preserve"/>
      </w:r>
    </w:p>
    <w:p>
      <w:pPr>
        <w:pStyle w:val="Heading3"/>
        <w:spacing w:after="80" w:before="200"/>
      </w:pPr>
      <w:r>
        <w:rPr>
          <w:rFonts w:ascii="Arial" w:cs="Arial" w:eastAsia="Arial" w:hAnsi="Arial"/>
          <w:b/>
          <w:bCs/>
          <w:color w:val="7C3AED"/>
          <w:sz w:val="24"/>
          <w:szCs w:val="24"/>
        </w:rPr>
        <w:t xml:space="preserve">Environment 1 — DEV (Developers, Daily)</w:t>
      </w:r>
    </w:p>
    <w:p>
      <w:pPr>
        <w:spacing w:after="80" w:before="60"/>
      </w:pPr>
      <w:r>
        <w:rPr>
          <w:rFonts w:ascii="Arial" w:cs="Arial" w:eastAsia="Arial" w:hAnsi="Arial"/>
          <w:color w:val="0F172A"/>
          <w:sz w:val="22"/>
          <w:szCs w:val="22"/>
        </w:rPr>
        <w:t xml:space="preserve">The earliest quality gate. Developers run PROVA tests locally or in CI on every commit. Tests are scoped to the component or API endpoint being changed — fast, focused, non-blocking. The knowledge graph provides the business rules and boundary values. The test data store provides pre-provisioned data in under 2 seconds.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0D9488" w:val="clear"/>
            <w:tcMar>
              <w:top w:type="dxa" w:w="80"/>
              <w:left w:type="dxa" w:w="200"/>
              <w:bottom w:type="dxa" w:w="80"/>
              <w:right w:type="dxa" w:w="200"/>
            </w:tcMar>
          </w:tcPr>
          <w:p>
            <w:r>
              <w:rPr>
                <w:rFonts w:ascii="Arial" w:cs="Arial" w:eastAsia="Arial" w:hAnsi="Arial"/>
                <w:b/>
                <w:bCs/>
                <w:color w:val="FFFFFF"/>
                <w:sz w:val="20"/>
                <w:szCs w:val="20"/>
              </w:rPr>
              <w:t xml:space="preserve">WHAT DEVELOPERS RUN IN DEV ENVIRONMENT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Unit tests:          Component renders correctly with test data</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API contract tests:  POST /api/cart matches OpenAPI spec</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Rule validation:     Business logic matches RULE-CODE-xxx from knowledge graph</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Boundary tests:      Auto-generated from knowledge graph thresholds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Selector tests:      Element IDs and ARIA roles match design spec</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TRIGGER: Every git push to feature branch</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DURATION: Under 2 minutes for scoped run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DATA: Session data from store, provisioned in &lt; 2 seconds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REPORT: Inline in PR — pass/fail badges per file changed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BLOCKS: PR cannot merge if dev environment tests fail</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Environment 2 — QE (QE Engineers / BSM Teams, Per Build)</w:t>
      </w:r>
    </w:p>
    <w:p>
      <w:pPr>
        <w:spacing w:after="80" w:before="60"/>
      </w:pPr>
      <w:r>
        <w:rPr>
          <w:rFonts w:ascii="Arial" w:cs="Arial" w:eastAsia="Arial" w:hAnsi="Arial"/>
          <w:color w:val="0F172A"/>
          <w:sz w:val="22"/>
          <w:szCs w:val="22"/>
        </w:rPr>
        <w:t xml:space="preserve">The primary validation environment. QE engineers run full flow tests against FRD acceptance criteria, validate the prototype-to-production match score, execute exploratory testing, and verify analytics and accessibility. This is the environment where the formal evidence for the Golden Thread is produced.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WHAT QE RUNS IN QE ENVIRONMENT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Full flow tests:     All 11 REQs tested against every JIRA AC</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Proto comparison:    Prototype v1.1 vs Production build match score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Exploratory:         AI agent clicks every element, checks every link</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Analytics:           All GA4/GTM events validated against schema</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A11Y:                WCAG 2.2 AA per page vs Figma design intent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Performance:         K6 load test against p95 baseline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Security:            OWASP ZAP passive scan on authenticated flows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TRIGGER: Every build deployed to QE environment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DURATION: 15-45 minutes depending on scope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DATA: Cloned prod data + synthetic scenario data from store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REPORT: Full Golden Thread report — all 7 accuracy dimensions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BLOCKS: QE Lead approval required before UAT promotion</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Environment 3 — UAT (Product Owners and Business Stakeholders)</w:t>
      </w:r>
    </w:p>
    <w:p>
      <w:pPr>
        <w:spacing w:after="80" w:before="60"/>
      </w:pPr>
      <w:r>
        <w:rPr>
          <w:rFonts w:ascii="Arial" w:cs="Arial" w:eastAsia="Arial" w:hAnsi="Arial"/>
          <w:color w:val="0F172A"/>
          <w:sz w:val="22"/>
          <w:szCs w:val="22"/>
        </w:rPr>
        <w:t xml:space="preserve">The business validation environment. Product Owners and business stakeholders validate that what was built matches what was requested — in business terms, not technical terms. PROVA Studio provides a completely non-technical interface. Business scenarios are pre-defined from JIRA user stories. Stakeholders click through flows, see realistic data, and record their acceptance or rejection with annotated screenshots.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WHAT PRODUCT OWNERS DO IN UAT ENVIRONMENT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Studio — UAT Mode: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1. Select business scenario from list (generated from JIRA user stories)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Example: "Premium customer purchases with Apple Pay"</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2. Data automatically loaded (realistic anonymized prod-clone data)</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 sees: real product names, realistic prices, realistic order history</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3. Walk through the scenario step by step</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Each step shows: what was designed (prototype) vs what is built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Match score visible per step — "Step 3: 97% match to design"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4. At each step: Accept / Reject / Comment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Rejection triggers: annotated screenshot + JIRA ticket auto-created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5. Final UAT sign-off recorded in Golden Thread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 name, timestamp, scenario, decision — cryptographically stored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NO CLI. NO CODE. NO TECHNICAL KNOWLEDGE REQUIRED.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UAT Feature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Provides to the PO</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Business scenario library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Pre-built scenarios from JIRA user stories. PO selects from dropdown — no flow definition needed.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Realistic data view</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Anonymized prod-clone data makes UAT feel real. Real product names, real order histories, realistic pricing.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Step-by-step guidance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Each UAT step shows the design intention alongside the current implementation. PO compares visually.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Annotated feedback</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PO clicks directly on screen elements to annotate issues. Screenshot + annotation + JIRA ticket in one action.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UAT sign-off gate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 formal approval is recorded in Golden Thread. Release cannot proceed to Staging without UAT sign-off.</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Non-technical dashboard</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PO sees: scenarios completed, issues raised, match scores, release recommendation. No test jargon.</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Environment 4 — STAGING (All Teams, Release Candidate)</w:t>
      </w:r>
    </w:p>
    <w:p>
      <w:pPr>
        <w:spacing w:after="80" w:before="60"/>
      </w:pPr>
      <w:r>
        <w:rPr>
          <w:rFonts w:ascii="Arial" w:cs="Arial" w:eastAsia="Arial" w:hAnsi="Arial"/>
          <w:color w:val="0F172A"/>
          <w:sz w:val="22"/>
          <w:szCs w:val="22"/>
        </w:rPr>
        <w:t xml:space="preserve">The pre-production gate. The release candidate build runs a full regression suite across all teams. QE runs the complete test suite. Security runs a full OWASP scan. Performance runs stress tests at 2x peak load. UAT runs a final smoke validation. All results must pass before the release is promoted to production.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59E0B" w:val="clear"/>
            <w:tcMar>
              <w:top w:type="dxa" w:w="80"/>
              <w:left w:type="dxa" w:w="200"/>
              <w:bottom w:type="dxa" w:w="80"/>
              <w:right w:type="dxa" w:w="200"/>
            </w:tcMar>
          </w:tcPr>
          <w:p>
            <w:r>
              <w:rPr>
                <w:rFonts w:ascii="Arial" w:cs="Arial" w:eastAsia="Arial" w:hAnsi="Arial"/>
                <w:b/>
                <w:bCs/>
                <w:color w:val="FFFFFF"/>
                <w:sz w:val="20"/>
                <w:szCs w:val="20"/>
              </w:rPr>
              <w:t xml:space="preserve">STAGING GATE — ALL TEAMS SIGN OFF BEFORE PRODUCTION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 Team:         Full regression — all 27 features tested</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Dev Team:        Integration tests — all service boundaries verified</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PO / Stakeholders: UAT smoke — top 5 business scenarios confirmed</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Security:        Full OWASP ZAP active scan — zero Critical/High</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Performance:     Stress test at 2x peak — p95 within baseline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ALL FIVE GATES MUST PASS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Any single failure blocks production promotion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Environment parity with production verified before staging run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Same build artifact — SHA256 verified at every stage</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Environment 5 — PRODUCTION (Monitoring, Post-Deploy)</w:t>
      </w:r>
    </w:p>
    <w:p>
      <w:pPr>
        <w:spacing w:after="80" w:before="60"/>
      </w:pPr>
      <w:r>
        <w:rPr>
          <w:rFonts w:ascii="Arial" w:cs="Arial" w:eastAsia="Arial" w:hAnsi="Arial"/>
          <w:color w:val="0F172A"/>
          <w:sz w:val="22"/>
          <w:szCs w:val="22"/>
        </w:rPr>
        <w:t xml:space="preserve">Production is not the end of testing — it is the beginning of monitoring. PROVA Sentinel runs the smoke suite against production every 15 minutes. Post-deploy, the full proto-comparison score is recalculated against the live application. Analytics events are monitored against the GTM baseline in real time. Any regression from what QE approved triggers an immediate alert.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Production Feature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Synthetic monitoring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Core user flows run against production every 15 minutes. Same tests QE approved, now monitoring production. Failure = immediate Slack/PagerDuty alert.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Post-deploy verification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proto-comparison run immediately after deployment. Confirms production matches what QE tested. Catches config drift and deployment errors.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Analytics monitoring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Real-time validation that GA4/GTM events fire correctly in production. Correlated with deployment events — issue traced to specific release.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Performance baseline drift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Real p95 response times tracked against QE baseline. Alert if production slows below threshold. Data stored for trend analysis.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Rollback trigger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If post-deploy smoke suite fails: automatic rollback triggered via CI/CD webhook. Mean time to recovery measured in minutes.</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Shared Test Data Across All Environments and Roles</w:t>
      </w:r>
    </w:p>
    <w:p>
      <w:pPr>
        <w:spacing w:after="80" w:before="60"/>
      </w:pPr>
      <w:r>
        <w:rPr>
          <w:rFonts w:ascii="Arial" w:cs="Arial" w:eastAsia="Arial" w:hAnsi="Arial"/>
          <w:color w:val="0F172A"/>
          <w:sz w:val="22"/>
          <w:szCs w:val="22"/>
        </w:rPr>
        <w:t xml:space="preserve">The test data store is the connective tissue that makes multi-environment, multi-role testing coherent. Every team in every environment pulls from the same store — but gets data appropriate for their context. The data is versioned, permissioned, and automatically managed.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Data Flow — From Production to Every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0D9488" w:val="clear"/>
            <w:tcMar>
              <w:top w:type="dxa" w:w="80"/>
              <w:left w:type="dxa" w:w="200"/>
              <w:bottom w:type="dxa" w:w="80"/>
              <w:right w:type="dxa" w:w="200"/>
            </w:tcMar>
          </w:tcPr>
          <w:p>
            <w:r>
              <w:rPr>
                <w:rFonts w:ascii="Arial" w:cs="Arial" w:eastAsia="Arial" w:hAnsi="Arial"/>
                <w:b/>
                <w:bCs/>
                <w:color w:val="FFFFFF"/>
                <w:sz w:val="20"/>
                <w:szCs w:val="20"/>
              </w:rPr>
              <w:t xml:space="preserve">HOW DATA FLOWS THROUGH THE PIPELINE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PRODUCTION DB (read replica, never write):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AI PII scanner runs nightly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Representative subset selected (covers all test scenarios)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All PII fields anonymized (names, emails, cards, addresses)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Referential integrity verified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Cross-table consistency confirmed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Loaded to: PROVA Test Data Store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FROM TEST DATA STORE: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DEV environment:     Component-scoped slices (fast, minimal)</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QE environment:      Full anonymized prod-clone + synthetic</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UAT environment:     Realistic prod-clone (POs see real-looking data)</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STAGING environment: Production-scale subset + stress-test data</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PRODUCTION:          No test data — monitoring only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LIFECYCLE: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Persistent data:  Versioned, preserved across runs, read-only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Session data:     Created at run start, deleted at run end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Snapshot data:    Point-in-time copy for regression comparison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Role-Based Data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Characteristics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Developer profile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Minimal data — just what the component needs. Single user, single order, single product. Provisioned in 2 seconds. Destroyed after test. No PII risk.</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 profile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Full scenario data — all user types, all order states, all edge cases. Anonymized prod-clone for realism. Full boundary value sets from knowledge graph.</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UAT / PO profile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Realistic-looking data. Real product names, realistic prices, plausible order histories. PO can recognize familiar patterns without seeing real customer data.</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Staging profile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Production-scale volumes. 10x normal data set for load testing. Full anonymized prod-clone including historical data for trend analysis.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 profile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Any team can define a custom data profile using plain language. "Give me 3 premium users with expired subscriptions and pending refunds." Generated in seconds.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Data Governance — Compliance at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Compliance Requirement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PROVA Satisfies It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GDPR Article 25</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Data minimization enforced by design. Each role gets only the data required for their tests. No over-provisioning.</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PCI-DSS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No real card numbers ever leave the production replica. Test environments always get Stripe test card numbers. Luhn-valid format preserved.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HIPAA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PHI fields detected and anonymized before any data leaves the production boundary. Audit log of every anonymization event retained for 7 years.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Data residency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data stays in the same cloud region as production. No cross-border data transfer. Configurable per project.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Right to erasure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When a user exercises GDPR right to erasure from production, the nightly PII scan removes their anonymized counterpart from the test store too.</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How All Three Roles Interact — The Complete Picture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Sprint Lifecycle — What Each Role Does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Sprint Phase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 Activity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Sprint planning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 defines user stories with AC in JIRA. PROVA immediately extracts AC, links to design screens, flags missing design screens, and generates initial test structure.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Design phase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Designer creates screens in Figma. PROVA webhook fires. Screens linked to JIRA ACs. Prototype pilot run scheduled. A11Y baseline captured from annotations.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Development phase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Developer codes against spec. PROVA watches every PR. Dev runs unit tests using PROVA data store (self-service, 2 seconds). Rules extracted from code cross-referenced against JIRA.</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 phase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 builds deployed automatically to QE environment. PROVA runs scoped tests based on CR scope. Proto comparison score calculated. Full Golden Thread evidence generated.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UAT phase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QE-approved build promoted to UAT environment. PO runs business scenarios in PROVA Studio. Realistic data loaded automatically. UAT sign-off recorded in Golden Thread.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Staging phase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 teams sign off in staging. Full regression, security, performance, UAT smoke — all gates. Release readiness dashboard shows all signals green.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Release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 Lead approves specific build hash. Same artifact deployed to production. Post-deploy smoke confirms parity. Monitoring activated. Golden Thread complete.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Shared Release Readiness Dashboard</w:t>
      </w:r>
    </w:p>
    <w:p>
      <w:pPr>
        <w:spacing w:after="80" w:before="60"/>
      </w:pPr>
      <w:r>
        <w:rPr>
          <w:rFonts w:ascii="Arial" w:cs="Arial" w:eastAsia="Arial" w:hAnsi="Arial"/>
          <w:color w:val="0F172A"/>
          <w:sz w:val="22"/>
          <w:szCs w:val="22"/>
        </w:rPr>
        <w:t xml:space="preserve">One dashboard visible to all roles simultaneously shows the complete release readiness signal. Every gate — development, QE, UAT, staging, security, performance — has a live status. The release cannot proceed until all signals are green. Every team sees the same truth.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RELEASE READINESS DASHBOARD — EXAMPLE STATE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VERSION: v1.1 — Apple Pay  |  BUILD: def789abc  |  TARGET: Production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DEVELOPMENT GATE: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Unit tests:          187/187 PASS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API contracts:        12/12 PASS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 reviews:           3/3 approved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 GATE: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Full flow tests:     187/187 PASS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Proto match score:   97.8% ✓ (threshold: 95%)</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Analytics health:    100%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A11Y score:          96%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 Lead sign-off:    James Park — 2026-06-15 16:30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UAT GATE: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Scenarios completed: 8/8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 sign-off:         Priya Sharma — 2026-06-16 11:15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Issues raised:       1 (cosmetic, waived by PO)</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STAGING GATE: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Full regression:     500/500 PASS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Security scan:       0 Critical, 0 High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Performance p95:     340ms ✓ (baseline: 420ms — improved)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ENVIRONMENT PARITY:  Verified ✓ (SHA256: def789abc)</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RELEASE READINESS:   ALL GATES GREEN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[APPROVE FOR PRODUCTION]  — QE Lead action</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Updated PROVA Architecture — Complete Platform</w:t>
      </w:r>
    </w:p>
    <w:p>
      <w:pPr>
        <w:spacing w:after="80" w:before="60"/>
      </w:pPr>
      <w:r>
        <w:rPr>
          <w:rFonts w:ascii="Arial" w:cs="Arial" w:eastAsia="Arial" w:hAnsi="Arial"/>
          <w:color w:val="0F172A"/>
          <w:sz w:val="22"/>
          <w:szCs w:val="22"/>
        </w:rPr>
        <w:t xml:space="preserve">With multi-role, multi-environment testing and the built-in data store, PROVA is no longer a QE tool. It is a universal quality intelligence platform that serves every team from the first design screen to the last production monitoring event.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What Makes This Architecturally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Architectural Principle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One knowledge graph, all roles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team operates from the same knowledge graph. The business rules a developer tests against are the same rules a QE engineer validates and a PO confirms in UAT. No divergence possible.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One data store, all environments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data provisioned from the same versioned store to DEV, QE, UAT, and Staging. No separate data management tool. No DBA tickets. No wait times. No PII exposure.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One Golden Thread, all stages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traceability chain now includes Developer unit test results, QE flow test results, PO UAT sign-off, Staging gate results, and Production monitoring confirmation — all in one unbroken chain.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One report, all stakeholders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 Release Readiness Dashboard shows all gates to all teams. Executives see the go/no-go signal. QE sees the technical detail. PO sees business scenario results. All from the same source.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One approval, one artifact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QE Lead approval locks a specific build hash. That hash flows through UAT, Staging, and Production. No rebuilds. No configuration drift. What every team tested is exactly what ships.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Final Scorecard — PROVA vs Every Tool in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Competitor / 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 Position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vs ACCELQ</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wins on: design traceability, prototype engine, data factory, golden thread, multi-role platform, analytics, A11Y, LLM testing, compliance automation, cost. Tied on: API breadth, platform breadth, codeless UX.</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vs TestRail</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replaces TestRail entirely. TestRail manages test cases manually. PROVA generates them automatically, runs them, and produces richer evidence with zero manual maintenance.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vs Jira + manual RTM</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replaces manual requirements traceability matrices. The Golden Thread is the RTM — automated, always current, cross-source, and cryptographically signed.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vs Separate UAT tools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replaces standalone UAT tools (UserSnap, BugHerd). UAT is built into the same platform, same data, same chain. No separate tool, no separate license.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vs Separate TDM platforms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replaces Delphix, Informatica TDM, and similar tools for the use cases it covers. Built-in data store with AI anonymization and self-service provisioning at zero license cost.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vs Separate monitoring tools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Sentinel replaces basic synthetic monitoring. Same test suite used for QE now monitors production — no separate monitoring tool needed for functional coverage.</w:t>
            </w:r>
          </w:p>
        </w:tc>
      </w:tr>
    </w:tbl>
    <w:p>
      <w:pPr>
        <w:spacing w:after="0" w:before="240"/>
      </w:pPr>
      <w:r>
        <w:t xml:space="preserve"/>
      </w:r>
    </w:p>
    <w:p>
      <w:pPr>
        <w:spacing w:after="0" w:before="240"/>
        <w:jc w:val="center"/>
      </w:pPr>
      <w:r>
        <w:rPr>
          <w:rFonts w:ascii="Arial" w:cs="Arial" w:eastAsia="Arial" w:hAnsi="Arial"/>
          <w:b/>
          <w:bCs/>
          <w:i/>
          <w:iCs/>
          <w:color w:val="1B3A6B"/>
          <w:sz w:val="26"/>
          <w:szCs w:val="26"/>
        </w:rPr>
        <w:t xml:space="preserve">PROVA — One Platform. Every Role. Every Environment. One Truth.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PVAI  |  Dev · QE · UAT · Staging · Production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 Universal Multi-Role Testing Platform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2026-06-07T10:39:41.450Z</dcterms:created>
  <dcterms:modified xsi:type="dcterms:W3CDTF">2026-06-07T10:39:41.461Z</dcterms:modified>
</cp:coreProperties>
</file>

<file path=docProps/custom.xml><?xml version="1.0" encoding="utf-8"?>
<Properties xmlns="http://schemas.openxmlformats.org/officeDocument/2006/custom-properties" xmlns:vt="http://schemas.openxmlformats.org/officeDocument/2006/docPropsVTypes"/>
</file>