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240"/>
              <w:left w:type="dxa" w:w="280"/>
              <w:bottom w:type="dxa" w:w="240"/>
              <w:right w:type="dxa" w:w="280"/>
            </w:tcMar>
          </w:tcPr>
          <w:p>
            <w:pPr>
              <w:jc w:val="center"/>
            </w:pPr>
            <w:r>
              <w:rPr>
                <w:rFonts w:ascii="Arial" w:cs="Arial" w:eastAsia="Arial" w:hAnsi="Arial"/>
                <w:b/>
                <w:bCs/>
                <w:color w:val="FFFFFF"/>
                <w:sz w:val="40"/>
                <w:szCs w:val="40"/>
              </w:rPr>
              <w:t xml:space="preserve">TITLE EXAMINATION REPORT</w:t>
            </w:r>
          </w:p>
          <w:p>
            <w:pPr>
              <w:jc w:val="center"/>
            </w:pPr>
            <w:r>
              <w:rPr>
                <w:rFonts w:ascii="Arial" w:cs="Arial" w:eastAsia="Arial" w:hAnsi="Arial"/>
                <w:color w:val="BDD7EE"/>
                <w:sz w:val="24"/>
                <w:szCs w:val="24"/>
              </w:rPr>
              <w:t xml:space="preserve">Exceptions from Coverage &amp; Schedule C Warnings</w:t>
            </w:r>
          </w:p>
          <w:p>
            <w:pPr>
              <w:spacing w:after="60"/>
            </w:pPr>
          </w:p>
          <w:p>
            <w:pPr>
              <w:jc w:val="center"/>
            </w:pPr>
            <w:r>
              <w:rPr>
                <w:rFonts w:ascii="Arial" w:cs="Arial" w:eastAsia="Arial" w:hAnsi="Arial"/>
                <w:color w:val="D9E2F3"/>
                <w:sz w:val="20"/>
                <w:szCs w:val="20"/>
              </w:rPr>
              <w:t xml:space="preserve">Commitment No. TX-26-1410  |  FAF File No. 111157928</w:t>
            </w:r>
          </w:p>
          <w:p>
            <w:pPr>
              <w:jc w:val="center"/>
            </w:pPr>
            <w:r>
              <w:rPr>
                <w:rFonts w:ascii="Arial" w:cs="Arial" w:eastAsia="Arial" w:hAnsi="Arial"/>
                <w:color w:val="D9E2F3"/>
                <w:sz w:val="20"/>
                <w:szCs w:val="20"/>
              </w:rPr>
              <w:t xml:space="preserve">Effective Date: March 2, 2026  |  Issued: March 13, 2026</w:t>
            </w:r>
          </w:p>
        </w:tc>
      </w:tr>
    </w:tbl>
    <w:p>
      <w:pPr>
        <w:spacing w:after="240"/>
      </w:pPr>
    </w:p>
    <w:p>
      <w:pPr>
        <w:pStyle w:val="Heading1"/>
        <w:spacing w:after="80" w:before="320"/>
      </w:pPr>
      <w:r>
        <w:rPr>
          <w:rFonts w:ascii="Arial" w:cs="Arial" w:eastAsia="Arial" w:hAnsi="Arial"/>
          <w:b/>
          <w:bCs/>
          <w:color w:val="1F3864"/>
          <w:sz w:val="28"/>
          <w:szCs w:val="28"/>
        </w:rPr>
        <w:t xml:space="preserve">I.  TRANSACTION SUMMARY</w:t>
      </w:r>
    </w:p>
    <w:p>
      <w:pPr>
        <w:pBdr>
          <w:bottom w:val="single" w:color="2E5496" w:sz="8" w:space="1"/>
        </w:pBdr>
        <w:spacing w:after="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Property Address</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13110 Memorial Drive, Houston, TX 77079</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Legal Description</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Lot 35, Block 1, Boulder Canyon Replat “B” Subdivision, El Paso County, Texas
(Map/Plat Records: CCF No. 20150003028)</w:t>
            </w:r>
          </w:p>
        </w:tc>
      </w:tr>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Current Vested Owner</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Shelley Lynn La Judice and Steven V. Callan</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Proposed Insured (Owner)</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Marisela Acedo</w:t>
            </w:r>
          </w:p>
        </w:tc>
      </w:tr>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Proposed Insured (Lender)</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Blue Spot Home Loans</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Proposed Borrower</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Marisela Acedo</w:t>
            </w:r>
          </w:p>
        </w:tc>
      </w:tr>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Interest Conveyed</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Fee Simple</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Owner’s Policy Amount</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$310,000.00  (Form T-1R – Texas Residential)</w:t>
            </w:r>
          </w:p>
        </w:tc>
      </w:tr>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Loan Policy Amount</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$299,150.00  (Form T-2)</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Underwriter</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First American Title Insurance Company (Nebraska Corporation)</w:t>
            </w:r>
          </w:p>
        </w:tc>
      </w:tr>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Issuing Agent</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Society Title, Inc.  |  330 Himmarshee St, Fort Lauderdale, FL 33312</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Search Agent</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First American Title  |  13110 Memorial Drive, Houston, TX 77079</w:t>
            </w:r>
          </w:p>
        </w:tc>
      </w:tr>
      <w:tr>
        <w:tc>
          <w:tcPr>
            <w:tcW w:type="dxa" w:w="2600"/>
            <w:tcBorders>
              <w:top w:val="single" w:color="AAAAAA" w:sz="4"/>
              <w:left w:val="single" w:color="AAAAAA" w:sz="4"/>
              <w:bottom w:val="single" w:color="AAAAAA" w:sz="4"/>
              <w:right w:val="single" w:color="AAAAAA" w:sz="4"/>
            </w:tcBorders>
            <w:shd w:fill="E8EEF7" w:val="clear"/>
            <w:tcMar>
              <w:top w:type="dxa" w:w="100"/>
              <w:left w:type="dxa" w:w="140"/>
              <w:bottom w:type="dxa" w:w="100"/>
              <w:right w:type="dxa" w:w="140"/>
            </w:tcMar>
            <w:vAlign w:val="top"/>
          </w:tcPr>
          <w:p>
            <w:r>
              <w:rPr>
                <w:rFonts w:ascii="Arial" w:cs="Arial" w:eastAsia="Arial" w:hAnsi="Arial"/>
                <w:b/>
                <w:bCs/>
                <w:color w:val="1F3864"/>
                <w:sz w:val="19"/>
                <w:szCs w:val="19"/>
              </w:rPr>
              <w:t xml:space="preserve">County</w:t>
            </w:r>
          </w:p>
        </w:tc>
        <w:tc>
          <w:tcPr>
            <w:tcW w:type="dxa" w:w="676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9"/>
                <w:szCs w:val="19"/>
              </w:rPr>
              <w:t xml:space="preserve">El Paso County, Texas</w:t>
            </w:r>
          </w:p>
        </w:tc>
      </w:tr>
      <w:tr>
        <w:tc>
          <w:tcPr>
            <w:tcW w:type="dxa" w:w="2600"/>
            <w:tcBorders>
              <w:top w:val="single" w:color="AAAAAA" w:sz="4"/>
              <w:left w:val="single" w:color="AAAAAA" w:sz="4"/>
              <w:bottom w:val="single" w:color="AAAAAA" w:sz="4"/>
              <w:right w:val="single" w:color="AAAAAA" w:sz="4"/>
            </w:tcBorders>
            <w:shd w:fill="D9E2F3" w:val="clear"/>
            <w:tcMar>
              <w:top w:type="dxa" w:w="100"/>
              <w:left w:type="dxa" w:w="140"/>
              <w:bottom w:type="dxa" w:w="100"/>
              <w:right w:type="dxa" w:w="140"/>
            </w:tcMar>
            <w:vAlign w:val="top"/>
          </w:tcPr>
          <w:p>
            <w:r>
              <w:rPr>
                <w:rFonts w:ascii="Arial" w:cs="Arial" w:eastAsia="Arial" w:hAnsi="Arial"/>
                <w:b/>
                <w:bCs/>
                <w:color w:val="1F3864"/>
                <w:sz w:val="19"/>
                <w:szCs w:val="19"/>
              </w:rPr>
              <w:t xml:space="preserve">GF / File Number</w:t>
            </w:r>
          </w:p>
        </w:tc>
        <w:tc>
          <w:tcPr>
            <w:tcW w:type="dxa" w:w="6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9"/>
                <w:szCs w:val="19"/>
              </w:rPr>
              <w:t xml:space="preserve">TX-26-1410 / FAF 111157928</w:t>
            </w:r>
          </w:p>
        </w:tc>
      </w:tr>
    </w:tbl>
    <w:p>
      <w:pPr>
        <w:spacing w:after="300"/>
      </w:pPr>
    </w:p>
    <w:p>
      <w:pPr>
        <w:pStyle w:val="Heading1"/>
        <w:spacing w:after="80" w:before="320"/>
      </w:pPr>
      <w:r>
        <w:rPr>
          <w:rFonts w:ascii="Arial" w:cs="Arial" w:eastAsia="Arial" w:hAnsi="Arial"/>
          <w:b/>
          <w:bCs/>
          <w:color w:val="1F3864"/>
          <w:sz w:val="28"/>
          <w:szCs w:val="28"/>
        </w:rPr>
        <w:t xml:space="preserve">II.  EXAMINER’S RISK SUMMARY</w:t>
      </w:r>
    </w:p>
    <w:p>
      <w:pPr>
        <w:pBdr>
          <w:bottom w:val="single" w:color="2E5496" w:sz="8" w:space="1"/>
        </w:pBdr>
        <w:spacing w:after="16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CRITICAL</w:t>
            </w:r>
          </w:p>
        </w:tc>
        <w:tc>
          <w:tcPr>
            <w:tcW w:type="dxa" w:w="25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HIGH</w:t>
            </w:r>
          </w:p>
        </w:tc>
        <w:tc>
          <w:tcPr>
            <w:tcW w:type="dxa" w:w="252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MODERATE</w:t>
            </w:r>
          </w:p>
        </w:tc>
        <w:tc>
          <w:tcPr>
            <w:tcW w:type="dxa" w:w="25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STANDARD</w:t>
            </w:r>
          </w:p>
        </w:tc>
      </w:tr>
      <w:tr>
        <w:tc>
          <w:tcPr>
            <w:tcW w:type="dxa" w:w="25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pPr>
              <w:jc w:val="center"/>
            </w:pPr>
            <w:r>
              <w:rPr>
                <w:rFonts w:ascii="Arial" w:cs="Arial" w:eastAsia="Arial" w:hAnsi="Arial"/>
                <w:b/>
                <w:bCs/>
                <w:color w:val="C00000"/>
                <w:sz w:val="28"/>
                <w:szCs w:val="28"/>
              </w:rPr>
              <w:t xml:space="preserve">3 items</w:t>
            </w:r>
          </w:p>
        </w:tc>
        <w:tc>
          <w:tcPr>
            <w:tcW w:type="dxa" w:w="252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jc w:val="center"/>
            </w:pPr>
            <w:r>
              <w:rPr>
                <w:rFonts w:ascii="Arial" w:cs="Arial" w:eastAsia="Arial" w:hAnsi="Arial"/>
                <w:b/>
                <w:bCs/>
                <w:color w:val="C55A11"/>
                <w:sz w:val="28"/>
                <w:szCs w:val="28"/>
              </w:rPr>
              <w:t xml:space="preserve">4 items</w:t>
            </w:r>
          </w:p>
        </w:tc>
        <w:tc>
          <w:tcPr>
            <w:tcW w:type="dxa" w:w="252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pPr>
              <w:jc w:val="center"/>
            </w:pPr>
            <w:r>
              <w:rPr>
                <w:rFonts w:ascii="Arial" w:cs="Arial" w:eastAsia="Arial" w:hAnsi="Arial"/>
                <w:b/>
                <w:bCs/>
                <w:color w:val="7F7F00"/>
                <w:sz w:val="28"/>
                <w:szCs w:val="28"/>
              </w:rPr>
              <w:t xml:space="preserve">4 items</w:t>
            </w:r>
          </w:p>
        </w:tc>
        <w:tc>
          <w:tcPr>
            <w:tcW w:type="dxa" w:w="252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pPr>
              <w:jc w:val="center"/>
            </w:pPr>
            <w:r>
              <w:rPr>
                <w:rFonts w:ascii="Arial" w:cs="Arial" w:eastAsia="Arial" w:hAnsi="Arial"/>
                <w:b/>
                <w:bCs/>
                <w:color w:val="375623"/>
                <w:sz w:val="28"/>
                <w:szCs w:val="28"/>
              </w:rPr>
              <w:t xml:space="preserve">6 items</w:t>
            </w:r>
          </w:p>
        </w:tc>
      </w:tr>
    </w:tbl>
    <w:p>
      <w:pPr>
        <w:spacing w:after="160"/>
      </w:pPr>
    </w:p>
    <w:p>
      <w:pPr>
        <w:spacing w:after="120"/>
      </w:pPr>
      <w:r>
        <w:rPr>
          <w:rFonts w:ascii="Arial" w:cs="Arial" w:eastAsia="Arial" w:hAnsi="Arial"/>
          <w:color w:val="404040"/>
          <w:sz w:val="20"/>
          <w:szCs w:val="20"/>
        </w:rPr>
        <w:t xml:space="preserve">This file presents multiple items requiring attention before closing. Three (3) CRITICAL items — the outstanding Deed of Trust lien, the FinCEN RRE Rule compliance obligation, and the Foreign Ownership restriction — must be fully resolved at or before closing. The HOA assessment clearances and marital status disclosures are HIGH priority requirements. All Schedule B exceptions and Schedule C requirements are detailed below.</w:t>
      </w:r>
    </w:p>
    <w:p>
      <w:pPr>
        <w:spacing w:after="300"/>
      </w:pPr>
    </w:p>
    <w:p>
      <w:pPr>
        <w:pStyle w:val="Heading1"/>
        <w:spacing w:after="80" w:before="320"/>
      </w:pPr>
      <w:r>
        <w:rPr>
          <w:rFonts w:ascii="Arial" w:cs="Arial" w:eastAsia="Arial" w:hAnsi="Arial"/>
          <w:b/>
          <w:bCs/>
          <w:color w:val="1F3864"/>
          <w:sz w:val="28"/>
          <w:szCs w:val="28"/>
        </w:rPr>
        <w:t xml:space="preserve">III.  SCHEDULE B — EXCEPTIONS FROM COVERAGE</w:t>
      </w:r>
    </w:p>
    <w:p>
      <w:pPr>
        <w:pBdr>
          <w:bottom w:val="single" w:color="2E5496" w:sz="8" w:space="1"/>
        </w:pBdr>
        <w:spacing w:after="160"/>
      </w:pPr>
    </w:p>
    <w:p>
      <w:pPr>
        <w:spacing w:after="120"/>
      </w:pPr>
      <w:r>
        <w:rPr>
          <w:rFonts w:ascii="Arial" w:cs="Arial" w:eastAsia="Arial" w:hAnsi="Arial"/>
          <w:color w:val="404040"/>
          <w:sz w:val="20"/>
          <w:szCs w:val="20"/>
        </w:rPr>
        <w:t xml:space="preserve">The following exceptions will appear in the final title policy and represent areas NOT covered against loss. Items marked CRITICAL or HIGH warrant immediate legal review or resolution.</w:t>
      </w:r>
    </w:p>
    <w:p>
      <w:pPr>
        <w:spacing w:after="120"/>
      </w:pPr>
    </w:p>
    <w:p>
      <w:pPr>
        <w:pStyle w:val="Heading2"/>
        <w:spacing w:after="60" w:before="200"/>
      </w:pPr>
      <w:r>
        <w:rPr>
          <w:rFonts w:ascii="Arial" w:cs="Arial" w:eastAsia="Arial" w:hAnsi="Arial"/>
          <w:b/>
          <w:bCs/>
          <w:color w:val="1F3864"/>
          <w:sz w:val="24"/>
          <w:szCs w:val="24"/>
        </w:rPr>
        <w:t xml:space="preserve">3.1  Standard / Boilerplate Exceptions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B-2</w:t>
            </w:r>
          </w:p>
        </w:tc>
        <w:tc>
          <w:tcPr>
            <w:tcW w:type="dxa" w:w="168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STANDARD</w:t>
            </w:r>
          </w:p>
          <w:p>
            <w:pPr>
              <w:spacing w:before="40"/>
            </w:pPr>
            <w:r>
              <w:rPr>
                <w:rFonts w:ascii="Arial" w:cs="Arial" w:eastAsia="Arial" w:hAnsi="Arial"/>
                <w:b/>
                <w:bCs/>
                <w:color w:val="FFFFFF"/>
                <w:sz w:val="18"/>
                <w:szCs w:val="18"/>
              </w:rPr>
              <w:t xml:space="preserve">Area &amp; Boundary</w:t>
            </w:r>
          </w:p>
        </w:tc>
        <w:tc>
          <w:tcPr>
            <w:tcW w:type="dxa" w:w="69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Discrepancies, conflicts, shortages in area or boundary lines; encroachments, protrusions, or overlapping improvements. A current survey is strongly recommended to eliminate or amend this exception.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B-3</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Homestead / Community Property Rights</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Homestead or community property or survivorship rights of any spouse of any insured. (Owner’s Policy only.) Relates directly to Schedule C Item 6 — marital status must be furnished.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B-4</w:t>
            </w:r>
          </w:p>
        </w:tc>
        <w:tc>
          <w:tcPr>
            <w:tcW w:type="dxa" w:w="168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STANDARD</w:t>
            </w:r>
          </w:p>
          <w:p>
            <w:pPr>
              <w:spacing w:before="40"/>
            </w:pPr>
            <w:r>
              <w:rPr>
                <w:rFonts w:ascii="Arial" w:cs="Arial" w:eastAsia="Arial" w:hAnsi="Arial"/>
                <w:b/>
                <w:bCs/>
                <w:color w:val="FFFFFF"/>
                <w:sz w:val="18"/>
                <w:szCs w:val="18"/>
              </w:rPr>
              <w:t xml:space="preserve">Government / Water Rights</w:t>
            </w:r>
          </w:p>
        </w:tc>
        <w:tc>
          <w:tcPr>
            <w:tcW w:type="dxa" w:w="69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Any title or rights to tidelands, navigable waters, filled-in lands, statutory water rights, or riparian rights asserted by any government or public entity. (Owner’s Policy only.) Standard exclusion for inland residential property.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B-5</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2026 Taxes &amp; Assessments</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Standby fees, taxes, and assessments for 2026 and subsequent years, plus any prior-year assessments arising from change in land usage or ownership. Requires tax certificate confirming current taxes paid.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B-6</w:t>
            </w:r>
          </w:p>
        </w:tc>
        <w:tc>
          <w:tcPr>
            <w:tcW w:type="dxa" w:w="168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STANDARD</w:t>
            </w:r>
          </w:p>
          <w:p>
            <w:pPr>
              <w:spacing w:before="40"/>
            </w:pPr>
            <w:r>
              <w:rPr>
                <w:rFonts w:ascii="Arial" w:cs="Arial" w:eastAsia="Arial" w:hAnsi="Arial"/>
                <w:b/>
                <w:bCs/>
                <w:color w:val="FFFFFF"/>
                <w:sz w:val="18"/>
                <w:szCs w:val="18"/>
              </w:rPr>
              <w:t xml:space="preserve">Terms of Creating Documents</w:t>
            </w:r>
          </w:p>
        </w:tc>
        <w:tc>
          <w:tcPr>
            <w:tcW w:type="dxa" w:w="69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Terms and conditions of documents creating the insured interest. Standard exception; deed must be reviewed for any unusual conditions.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B-8</w:t>
            </w:r>
          </w:p>
        </w:tc>
        <w:tc>
          <w:tcPr>
            <w:tcW w:type="dxa" w:w="168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STANDARD</w:t>
            </w:r>
          </w:p>
          <w:p>
            <w:pPr>
              <w:spacing w:before="40"/>
            </w:pPr>
            <w:r>
              <w:rPr>
                <w:rFonts w:ascii="Arial" w:cs="Arial" w:eastAsia="Arial" w:hAnsi="Arial"/>
                <w:b/>
                <w:bCs/>
                <w:color w:val="FFFFFF"/>
                <w:sz w:val="18"/>
                <w:szCs w:val="18"/>
              </w:rPr>
              <w:t xml:space="preserve">Subordinate Liens &amp; Leases</w:t>
            </w:r>
          </w:p>
        </w:tc>
        <w:tc>
          <w:tcPr>
            <w:tcW w:type="dxa" w:w="69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Liens and leases affecting title that are subordinate to the insured mortgage. (Loan Policy T-2 only.) Must confirm no undisclosed subordinate liens exist.</w:t>
            </w:r>
          </w:p>
        </w:tc>
      </w:tr>
    </w:tbl>
    <w:p>
      <w:pPr>
        <w:spacing w:after="200"/>
      </w:pPr>
    </w:p>
    <w:p>
      <w:pPr>
        <w:pStyle w:val="Heading2"/>
        <w:spacing w:after="60" w:before="200"/>
      </w:pPr>
      <w:r>
        <w:rPr>
          <w:rFonts w:ascii="Arial" w:cs="Arial" w:eastAsia="Arial" w:hAnsi="Arial"/>
          <w:b/>
          <w:bCs/>
          <w:color w:val="1F3864"/>
          <w:sz w:val="24"/>
          <w:szCs w:val="24"/>
        </w:rPr>
        <w:t xml:space="preserve">3.2  Specific Property Exceptions (Schedule B, Item 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10a</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Restrictive Covenants &amp; Plat Instruments</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All easements, covenants, assessments, and restrictions (not discriminatory) in Volume 39/55, CCF Nos. 20080049635, 20140048028, 20150003028 (Plat Records) and numerous OPR instruments. Must review all referenced instruments for building restrictions, use limitations, and setback requirements.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10b</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HOA Maintenance Assessments</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Maintenance assessments under CCF Nos. 20080049637 and 20140048055. Loan Policy includes express insurance that this item is subordinate to the insured mortgage. Payment clearance required (see Sch. C Items 8 &amp;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10c</w:t>
            </w:r>
          </w:p>
        </w:tc>
        <w:tc>
          <w:tcPr>
            <w:tcW w:type="dxa" w:w="168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top"/>
          </w:tcPr>
          <w:p>
            <w:r>
              <w:rPr>
                <w:rFonts w:ascii="Arial" w:cs="Arial" w:eastAsia="Arial" w:hAnsi="Arial"/>
                <w:b/>
                <w:bCs/>
                <w:color w:val="FFFFFF"/>
                <w:sz w:val="16"/>
                <w:szCs w:val="16"/>
              </w:rPr>
              <w:t xml:space="preserve">MODERATE</w:t>
            </w:r>
          </w:p>
          <w:p>
            <w:pPr>
              <w:spacing w:before="40"/>
            </w:pPr>
            <w:r>
              <w:rPr>
                <w:rFonts w:ascii="Arial" w:cs="Arial" w:eastAsia="Arial" w:hAnsi="Arial"/>
                <w:b/>
                <w:bCs/>
                <w:color w:val="FFFFFF"/>
                <w:sz w:val="18"/>
                <w:szCs w:val="18"/>
              </w:rPr>
              <w:t xml:space="preserve">Rights of Parties in Possession</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Owner’s Policy only. Any unrecorded rights of parties in possession not disclosed by record. Physical inspection and affidavit of possession required from seller.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10d</w:t>
            </w:r>
          </w:p>
        </w:tc>
        <w:tc>
          <w:tcPr>
            <w:tcW w:type="dxa" w:w="168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top"/>
          </w:tcPr>
          <w:p>
            <w:r>
              <w:rPr>
                <w:rFonts w:ascii="Arial" w:cs="Arial" w:eastAsia="Arial" w:hAnsi="Arial"/>
                <w:b/>
                <w:bCs/>
                <w:color w:val="FFFFFF"/>
                <w:sz w:val="16"/>
                <w:szCs w:val="16"/>
              </w:rPr>
              <w:t xml:space="preserve">MODERATE</w:t>
            </w:r>
          </w:p>
          <w:p>
            <w:pPr>
              <w:spacing w:before="40"/>
            </w:pPr>
            <w:r>
              <w:rPr>
                <w:rFonts w:ascii="Arial" w:cs="Arial" w:eastAsia="Arial" w:hAnsi="Arial"/>
                <w:b/>
                <w:bCs/>
                <w:color w:val="FFFFFF"/>
                <w:sz w:val="18"/>
                <w:szCs w:val="18"/>
              </w:rPr>
              <w:t xml:space="preserve">Plat Easements</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Private Access, Drainage &amp; Public Utility, Pedestrian Access, Utility, and P.S.B. easements per CCF No. 20150003028 (Plat Records). May affect buildable area and planned improvements.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10e</w:t>
            </w:r>
          </w:p>
        </w:tc>
        <w:tc>
          <w:tcPr>
            <w:tcW w:type="dxa" w:w="168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top"/>
          </w:tcPr>
          <w:p>
            <w:r>
              <w:rPr>
                <w:rFonts w:ascii="Arial" w:cs="Arial" w:eastAsia="Arial" w:hAnsi="Arial"/>
                <w:b/>
                <w:bCs/>
                <w:color w:val="FFFFFF"/>
                <w:sz w:val="16"/>
                <w:szCs w:val="16"/>
              </w:rPr>
              <w:t xml:space="preserve">MODERATE</w:t>
            </w:r>
          </w:p>
          <w:p>
            <w:pPr>
              <w:spacing w:before="40"/>
            </w:pPr>
            <w:r>
              <w:rPr>
                <w:rFonts w:ascii="Arial" w:cs="Arial" w:eastAsia="Arial" w:hAnsi="Arial"/>
                <w:b/>
                <w:bCs/>
                <w:color w:val="FFFFFF"/>
                <w:sz w:val="18"/>
                <w:szCs w:val="18"/>
              </w:rPr>
              <w:t xml:space="preserve">Visible &amp; Apparent Easements</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All visible and apparent easements on or across the property, whether of record or not. Physical inspection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10f</w:t>
            </w:r>
          </w:p>
        </w:tc>
        <w:tc>
          <w:tcPr>
            <w:tcW w:type="dxa" w:w="168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top"/>
          </w:tcPr>
          <w:p>
            <w:r>
              <w:rPr>
                <w:rFonts w:ascii="Arial" w:cs="Arial" w:eastAsia="Arial" w:hAnsi="Arial"/>
                <w:b/>
                <w:bCs/>
                <w:color w:val="FFFFFF"/>
                <w:sz w:val="16"/>
                <w:szCs w:val="16"/>
              </w:rPr>
              <w:t xml:space="preserve">MODERATE</w:t>
            </w:r>
          </w:p>
          <w:p>
            <w:pPr>
              <w:spacing w:before="40"/>
            </w:pPr>
            <w:r>
              <w:rPr>
                <w:rFonts w:ascii="Arial" w:cs="Arial" w:eastAsia="Arial" w:hAnsi="Arial"/>
                <w:b/>
                <w:bCs/>
                <w:color w:val="FFFFFF"/>
                <w:sz w:val="18"/>
                <w:szCs w:val="18"/>
              </w:rPr>
              <w:t xml:space="preserve">Electric Energy Easement</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Easement for Electric Energy and Power recorded in Volume 1686, Page 149, OPR, El Paso County. Location relative to improvements must be confirmed.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10g</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Mineral &amp; Royalty Interest</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Mineral and/or royalty interest recorded in Volume 1283, Page 304, Deed Records, El Paso County. Title to said interest NOT investigated subsequent to the recording date. Severed minerals may affect surface rights.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10h</w:t>
            </w:r>
          </w:p>
        </w:tc>
        <w:tc>
          <w:tcPr>
            <w:tcW w:type="dxa" w:w="168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STANDARD</w:t>
            </w:r>
          </w:p>
          <w:p>
            <w:pPr>
              <w:spacing w:before="40"/>
            </w:pPr>
            <w:r>
              <w:rPr>
                <w:rFonts w:ascii="Arial" w:cs="Arial" w:eastAsia="Arial" w:hAnsi="Arial"/>
                <w:b/>
                <w:bCs/>
                <w:color w:val="FFFFFF"/>
                <w:sz w:val="18"/>
                <w:szCs w:val="18"/>
              </w:rPr>
              <w:t xml:space="preserve">General Mineral Reservations</w:t>
            </w:r>
          </w:p>
        </w:tc>
        <w:tc>
          <w:tcPr>
            <w:tcW w:type="dxa" w:w="69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All leases, grants, exceptions or reservations of coal, lignite, oil, gas, and other minerals appearing in Public Records. Blanket exception; may not be fully discoverable from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10i</w:t>
            </w:r>
          </w:p>
        </w:tc>
        <w:tc>
          <w:tcPr>
            <w:tcW w:type="dxa" w:w="1680"/>
            <w:tcBorders>
              <w:top w:val="single" w:color="AAAAAA" w:sz="4"/>
              <w:left w:val="single" w:color="AAAAAA" w:sz="4"/>
              <w:bottom w:val="single" w:color="AAAAAA" w:sz="4"/>
              <w:right w:val="single" w:color="AAAAAA" w:sz="4"/>
            </w:tcBorders>
            <w:shd w:fill="7F7F00" w:val="clear"/>
            <w:tcMar>
              <w:top w:type="dxa" w:w="100"/>
              <w:left w:type="dxa" w:w="140"/>
              <w:bottom w:type="dxa" w:w="100"/>
              <w:right w:type="dxa" w:w="140"/>
            </w:tcMar>
            <w:vAlign w:val="top"/>
          </w:tcPr>
          <w:p>
            <w:r>
              <w:rPr>
                <w:rFonts w:ascii="Arial" w:cs="Arial" w:eastAsia="Arial" w:hAnsi="Arial"/>
                <w:b/>
                <w:bCs/>
                <w:color w:val="FFFFFF"/>
                <w:sz w:val="16"/>
                <w:szCs w:val="16"/>
              </w:rPr>
              <w:t xml:space="preserve">MODERATE</w:t>
            </w:r>
          </w:p>
          <w:p>
            <w:pPr>
              <w:spacing w:before="40"/>
            </w:pPr>
            <w:r>
              <w:rPr>
                <w:rFonts w:ascii="Arial" w:cs="Arial" w:eastAsia="Arial" w:hAnsi="Arial"/>
                <w:b/>
                <w:bCs/>
                <w:color w:val="FFFFFF"/>
                <w:sz w:val="18"/>
                <w:szCs w:val="18"/>
              </w:rPr>
              <w:t xml:space="preserve">Water Rights — City of El Paso</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Water rights granted to the City of El Paso / El Paso Water Utilities in Volume 808, Page 532 (corrected Vol. 816, Pg. 1064), OPR. May affect use of surface water on the property.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10j</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Zoning Ordinance No. 13488</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Ordinance changing zoning and imposing conditions recorded in Volume 3313, Page 782, OPR. Conditions of the ordinance must be reviewed for compliance and any limitations on use.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10k</w:t>
            </w:r>
          </w:p>
        </w:tc>
        <w:tc>
          <w:tcPr>
            <w:tcW w:type="dxa" w:w="168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STANDARD</w:t>
            </w:r>
          </w:p>
          <w:p>
            <w:pPr>
              <w:spacing w:before="40"/>
            </w:pPr>
            <w:r>
              <w:rPr>
                <w:rFonts w:ascii="Arial" w:cs="Arial" w:eastAsia="Arial" w:hAnsi="Arial"/>
                <w:b/>
                <w:bCs/>
                <w:color w:val="FFFFFF"/>
                <w:sz w:val="18"/>
                <w:szCs w:val="18"/>
              </w:rPr>
              <w:t xml:space="preserve">Plat Approval — Boulder Canyon Replat A</w:t>
            </w:r>
          </w:p>
        </w:tc>
        <w:tc>
          <w:tcPr>
            <w:tcW w:type="dxa" w:w="696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Approval and Ratification of Boulder Canyon Replat A, CCF No. 20140058890. Confirm subject property Lot 35 is fully incorporated in the approved final plat replat “B”.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10l</w:t>
            </w:r>
          </w:p>
        </w:tc>
        <w:tc>
          <w:tcPr>
            <w:tcW w:type="dxa" w:w="168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HIGH</w:t>
            </w:r>
          </w:p>
          <w:p>
            <w:pPr>
              <w:spacing w:before="40"/>
            </w:pPr>
            <w:r>
              <w:rPr>
                <w:rFonts w:ascii="Arial" w:cs="Arial" w:eastAsia="Arial" w:hAnsi="Arial"/>
                <w:b/>
                <w:bCs/>
                <w:color w:val="FFFFFF"/>
                <w:sz w:val="18"/>
                <w:szCs w:val="18"/>
              </w:rPr>
              <w:t xml:space="preserve">Ysleta Grant Aboriginal Title Claim</w:t>
            </w:r>
          </w:p>
        </w:tc>
        <w:tc>
          <w:tcPr>
            <w:tcW w:type="dxa" w:w="696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Affidavit: Notice of Claim to Ysleta Grant and Aboriginal Title Areas (Vol. 2553, Pg. 1958, Deed Records). Encompasses large portions of El Paso County. Company provides insured defense coverage. No active litigation confirmed, but claim on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720"/>
        <w:gridCol w:w="1680"/>
        <w:gridCol w:w="6960"/>
      </w:tblGrid>
      <w:tr>
        <w:tc>
          <w:tcPr>
            <w:tcW w:type="dxa" w:w="72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10m</w:t>
            </w:r>
          </w:p>
        </w:tc>
        <w:tc>
          <w:tcPr>
            <w:tcW w:type="dxa" w:w="168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CRITICAL</w:t>
            </w:r>
          </w:p>
          <w:p>
            <w:pPr>
              <w:spacing w:before="40"/>
            </w:pPr>
            <w:r>
              <w:rPr>
                <w:rFonts w:ascii="Arial" w:cs="Arial" w:eastAsia="Arial" w:hAnsi="Arial"/>
                <w:b/>
                <w:bCs/>
                <w:color w:val="FFFFFF"/>
                <w:sz w:val="18"/>
                <w:szCs w:val="18"/>
              </w:rPr>
              <w:t xml:space="preserve">FinCEN RRE Rule</w:t>
            </w:r>
          </w:p>
        </w:tc>
        <w:tc>
          <w:tcPr>
            <w:tcW w:type="dxa" w:w="696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Transaction may be subject to the FinCEN Residential Real Estate Reporting Rule (Bank Secrecy Act), effective March 1, 2026. Required information must be collected and provided to the Reporting Person before closing.</w:t>
            </w:r>
          </w:p>
        </w:tc>
      </w:tr>
    </w:tbl>
    <w:p>
      <w:pPr>
        <w:spacing w:after="400"/>
      </w:pPr>
    </w:p>
    <w:p>
      <w:r>
        <w:br w:type="page"/>
      </w:r>
    </w:p>
    <w:p>
      <w:pPr>
        <w:pStyle w:val="Heading1"/>
        <w:spacing w:after="80" w:before="320"/>
      </w:pPr>
      <w:r>
        <w:rPr>
          <w:rFonts w:ascii="Arial" w:cs="Arial" w:eastAsia="Arial" w:hAnsi="Arial"/>
          <w:b/>
          <w:bCs/>
          <w:color w:val="1F3864"/>
          <w:sz w:val="28"/>
          <w:szCs w:val="28"/>
        </w:rPr>
        <w:t xml:space="preserve">IV.  SCHEDULE C — REQUIREMENTS &amp; CONDITIONS</w:t>
      </w:r>
    </w:p>
    <w:p>
      <w:pPr>
        <w:pBdr>
          <w:bottom w:val="single" w:color="2E5496" w:sz="8" w:space="1"/>
        </w:pBdr>
        <w:spacing w:after="160"/>
      </w:pPr>
    </w:p>
    <w:p>
      <w:pPr>
        <w:spacing w:after="120"/>
      </w:pPr>
      <w:r>
        <w:rPr>
          <w:rFonts w:ascii="Arial" w:cs="Arial" w:eastAsia="Arial" w:hAnsi="Arial"/>
          <w:color w:val="404040"/>
          <w:sz w:val="20"/>
          <w:szCs w:val="20"/>
        </w:rPr>
        <w:t xml:space="preserve">The following items MUST be satisfied before the title policy can be issued. Failure to clear these requirements will result in them appearing as exceptions or in refusal to insure.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C-1</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Title Documents</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All conveyance and loan documents creating the insured interest must be approved by the Company, properly signed, notarized, and filed for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C-2a</w:t>
            </w:r>
          </w:p>
        </w:tc>
        <w:tc>
          <w:tcPr>
            <w:tcW w:type="dxa" w:w="180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REQUIRED</w:t>
            </w:r>
          </w:p>
          <w:p>
            <w:pPr>
              <w:spacing w:before="40"/>
            </w:pPr>
            <w:r>
              <w:rPr>
                <w:rFonts w:ascii="Arial" w:cs="Arial" w:eastAsia="Arial" w:hAnsi="Arial"/>
                <w:b/>
                <w:bCs/>
                <w:color w:val="FFFFFF"/>
                <w:sz w:val="18"/>
                <w:szCs w:val="18"/>
              </w:rPr>
              <w:t xml:space="preserve">No Adverse Claims</w:t>
            </w:r>
          </w:p>
        </w:tc>
        <w:tc>
          <w:tcPr>
            <w:tcW w:type="dxa" w:w="702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Satisfactory evidence that no person occupying the land claims any interest against the vested owners (Shelley Lynn La Judice and Steven V. Callan).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C-2b</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Taxes / Assessments Paid</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Confirmation that all standby fees, taxes, assessments, and charges against the property have been paid in full, supported by current tax certificates.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C-2c</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No Mechanic’s Liens</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Evidence that all improvements or repairs are completed and accepted by the owner, and that all contractors, sub-contractors, laborers, and suppliers have been fully paid. No mechanic’s, laborer’s, or materialmen’s liens may be attached.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C-2d</w:t>
            </w:r>
          </w:p>
        </w:tc>
        <w:tc>
          <w:tcPr>
            <w:tcW w:type="dxa" w:w="180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REQUIRED</w:t>
            </w:r>
          </w:p>
          <w:p>
            <w:pPr>
              <w:spacing w:before="40"/>
            </w:pPr>
            <w:r>
              <w:rPr>
                <w:rFonts w:ascii="Arial" w:cs="Arial" w:eastAsia="Arial" w:hAnsi="Arial"/>
                <w:b/>
                <w:bCs/>
                <w:color w:val="FFFFFF"/>
                <w:sz w:val="18"/>
                <w:szCs w:val="18"/>
              </w:rPr>
              <w:t xml:space="preserve">Legal Access Confirmed</w:t>
            </w:r>
          </w:p>
        </w:tc>
        <w:tc>
          <w:tcPr>
            <w:tcW w:type="dxa" w:w="702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Confirmation of legal right of access to and from the property. Review plat easements to confirm access via dedicated road or recorded easement.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C-2e</w:t>
            </w:r>
          </w:p>
        </w:tc>
        <w:tc>
          <w:tcPr>
            <w:tcW w:type="dxa" w:w="180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REQUIRED</w:t>
            </w:r>
          </w:p>
          <w:p>
            <w:pPr>
              <w:spacing w:before="40"/>
            </w:pPr>
            <w:r>
              <w:rPr>
                <w:rFonts w:ascii="Arial" w:cs="Arial" w:eastAsia="Arial" w:hAnsi="Arial"/>
                <w:b/>
                <w:bCs/>
                <w:color w:val="FFFFFF"/>
                <w:sz w:val="18"/>
                <w:szCs w:val="18"/>
              </w:rPr>
              <w:t xml:space="preserve">Mortgage Lien Priority</w:t>
            </w:r>
          </w:p>
        </w:tc>
        <w:tc>
          <w:tcPr>
            <w:tcW w:type="dxa" w:w="702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Loan Policy only: Confirmation that applicable restrictions have not been and will not be violated in a manner that affects the validity and priority of the insured mortgage.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C-3</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Contract Purchase Price</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The purchaser must pay the seller the agreed-upon contract amount for the property.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C-4</w:t>
            </w:r>
          </w:p>
        </w:tc>
        <w:tc>
          <w:tcPr>
            <w:tcW w:type="dxa" w:w="1800"/>
            <w:tcBorders>
              <w:top w:val="single" w:color="AAAAAA" w:sz="4"/>
              <w:left w:val="single" w:color="AAAAAA" w:sz="4"/>
              <w:bottom w:val="single" w:color="AAAAAA" w:sz="4"/>
              <w:right w:val="single" w:color="AAAAAA" w:sz="4"/>
            </w:tcBorders>
            <w:shd w:fill="C55A11" w:val="clear"/>
            <w:tcMar>
              <w:top w:type="dxa" w:w="100"/>
              <w:left w:type="dxa" w:w="140"/>
              <w:bottom w:type="dxa" w:w="100"/>
              <w:right w:type="dxa" w:w="140"/>
            </w:tcMar>
            <w:vAlign w:val="top"/>
          </w:tcPr>
          <w:p>
            <w:r>
              <w:rPr>
                <w:rFonts w:ascii="Arial" w:cs="Arial" w:eastAsia="Arial" w:hAnsi="Arial"/>
                <w:b/>
                <w:bCs/>
                <w:color w:val="FFFFFF"/>
                <w:sz w:val="16"/>
                <w:szCs w:val="16"/>
              </w:rPr>
              <w:t xml:space="preserve">REQUIRED</w:t>
            </w:r>
          </w:p>
          <w:p>
            <w:pPr>
              <w:spacing w:before="40"/>
            </w:pPr>
            <w:r>
              <w:rPr>
                <w:rFonts w:ascii="Arial" w:cs="Arial" w:eastAsia="Arial" w:hAnsi="Arial"/>
                <w:b/>
                <w:bCs/>
                <w:color w:val="FFFFFF"/>
                <w:sz w:val="18"/>
                <w:szCs w:val="18"/>
              </w:rPr>
              <w:t xml:space="preserve">Post-Commitment Matters</w:t>
            </w:r>
          </w:p>
        </w:tc>
        <w:tc>
          <w:tcPr>
            <w:tcW w:type="dxa" w:w="7020"/>
            <w:tcBorders>
              <w:top w:val="single" w:color="AAAAAA" w:sz="4"/>
              <w:left w:val="single" w:color="AAAAAA" w:sz="4"/>
              <w:bottom w:val="single" w:color="AAAAAA" w:sz="4"/>
              <w:right w:val="single" w:color="AAAAAA" w:sz="4"/>
            </w:tcBorders>
            <w:shd w:fill="FFF2CC" w:val="clear"/>
            <w:tcMar>
              <w:top w:type="dxa" w:w="100"/>
              <w:left w:type="dxa" w:w="140"/>
              <w:bottom w:type="dxa" w:w="100"/>
              <w:right w:type="dxa" w:w="140"/>
            </w:tcMar>
            <w:vAlign w:val="top"/>
          </w:tcPr>
          <w:p>
            <w:r>
              <w:rPr>
                <w:rFonts w:ascii="Arial" w:cs="Arial" w:eastAsia="Arial" w:hAnsi="Arial"/>
                <w:color w:val="404040"/>
                <w:sz w:val="19"/>
                <w:szCs w:val="19"/>
              </w:rPr>
              <w:t xml:space="preserve">Any defect, lien, or other matter affecting title that arises or is filed after the effective date of this Commitment (March 2, 2026) must be disclosed and cleared.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C-5</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OUTSTANDING LIEN — MUST RELEASE</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RECORD A RELEASE of the following Deed of Trust:
• Dated: July 23, 2021
• Recorded: September 2, 2022, CCF No. 20220083050, OPR El Paso County
• Amount: $165,138.00
• Grantor: Shelley Lynn La Judice and Steven Callan (domestic partners, non-married)
• Trustee: Thomas E. Black Jr.
• Beneficiary: Mortgage Electronic Registration Systems, Inc. (MERS)
• Lender: Lakeview Loan Servicing, LLC
This lien MUST be released at or before closing. Payoff demand from Lakeview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C-6</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Seller Marital Status</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Furnish marital status of current owners Shelley Lynn La Judice and Steven V. Callan from date of acquisition through date of closing. Company requires joinder of spouse in any conveyance or encumbrance. Note: grantor relationship described as ‘domestic partner / non-married’ in the existing Deed of Trust — current marital status must be independently confirmed and documented.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C-7</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Buyer Marital Status</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Furnish marital status of proposed purchaser Marisela Acedo. If married, both spouses must be named as Grantors on any Deed of Trust, and both must execute the Deed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C-8</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HOA — The Boulders</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Payment in full of all assessments due and payable to The Boulders Homeowners Association, Inc. Obtain current ledger and payoff letter.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C-9</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HOA — Boulder Canyon</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Payment in full of all assessments due and payable to Boulder Canyon Homeowners Association, Inc. Obtain current ledger and payoff letter.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C-10</w:t>
            </w:r>
          </w:p>
        </w:tc>
        <w:tc>
          <w:tcPr>
            <w:tcW w:type="dxa" w:w="1800"/>
            <w:tcBorders>
              <w:top w:val="single" w:color="AAAAAA" w:sz="4"/>
              <w:left w:val="single" w:color="AAAAAA" w:sz="4"/>
              <w:bottom w:val="single" w:color="AAAAAA" w:sz="4"/>
              <w:right w:val="single" w:color="AAAAAA" w:sz="4"/>
            </w:tcBorders>
            <w:shd w:fill="375623" w:val="clear"/>
            <w:tcMar>
              <w:top w:type="dxa" w:w="100"/>
              <w:left w:type="dxa" w:w="140"/>
              <w:bottom w:type="dxa" w:w="100"/>
              <w:right w:type="dxa" w:w="140"/>
            </w:tcMar>
            <w:vAlign w:val="top"/>
          </w:tcPr>
          <w:p>
            <w:r>
              <w:rPr>
                <w:rFonts w:ascii="Arial" w:cs="Arial" w:eastAsia="Arial" w:hAnsi="Arial"/>
                <w:b/>
                <w:bCs/>
                <w:color w:val="FFFFFF"/>
                <w:sz w:val="16"/>
                <w:szCs w:val="16"/>
              </w:rPr>
              <w:t xml:space="preserve">INFORMATIONAL</w:t>
            </w:r>
          </w:p>
          <w:p>
            <w:pPr>
              <w:spacing w:before="40"/>
            </w:pPr>
            <w:r>
              <w:rPr>
                <w:rFonts w:ascii="Arial" w:cs="Arial" w:eastAsia="Arial" w:hAnsi="Arial"/>
                <w:b/>
                <w:bCs/>
                <w:color w:val="FFFFFF"/>
                <w:sz w:val="18"/>
                <w:szCs w:val="18"/>
              </w:rPr>
              <w:t xml:space="preserve">No Recent Conveyance on Record</w:t>
            </w:r>
          </w:p>
        </w:tc>
        <w:tc>
          <w:tcPr>
            <w:tcW w:type="dxa" w:w="7020"/>
            <w:tcBorders>
              <w:top w:val="single" w:color="AAAAAA" w:sz="4"/>
              <w:left w:val="single" w:color="AAAAAA" w:sz="4"/>
              <w:bottom w:val="single" w:color="AAAAAA" w:sz="4"/>
              <w:right w:val="single" w:color="AAAAAA" w:sz="4"/>
            </w:tcBorders>
            <w:shd w:fill="E2EFDA" w:val="clear"/>
            <w:tcMar>
              <w:top w:type="dxa" w:w="100"/>
              <w:left w:type="dxa" w:w="140"/>
              <w:bottom w:type="dxa" w:w="100"/>
              <w:right w:type="dxa" w:w="140"/>
            </w:tcMar>
            <w:vAlign w:val="top"/>
          </w:tcPr>
          <w:p>
            <w:r>
              <w:rPr>
                <w:rFonts w:ascii="Arial" w:cs="Arial" w:eastAsia="Arial" w:hAnsi="Arial"/>
                <w:color w:val="404040"/>
                <w:sz w:val="19"/>
                <w:szCs w:val="19"/>
              </w:rPr>
              <w:t xml:space="preserve">INFORMATIONAL ONLY: No conveyance of the property has been recorded within 36 months prior to the effective date of this commitment per title plant search. No liability attaches to the company for any error in this statement.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C-11</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FinCEN RRE Rule — BSA Compliance</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This transaction may be subject to the FinCEN Residential Real Estate Reporting Rule (RRE Rule) under the Bank Secrecy Act, effective March 1, 2026. All required information must be collected and provided to the Reporting Person before closing. CRITICAL: Non-compliance may expose closing agent to federal penalties.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7020"/>
      </w:tblGrid>
      <w:tr>
        <w:tc>
          <w:tcPr>
            <w:tcW w:type="dxa" w:w="54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C-12</w:t>
            </w:r>
          </w:p>
        </w:tc>
        <w:tc>
          <w:tcPr>
            <w:tcW w:type="dxa" w:w="1800"/>
            <w:tcBorders>
              <w:top w:val="single" w:color="AAAAAA" w:sz="4"/>
              <w:left w:val="single" w:color="AAAAAA" w:sz="4"/>
              <w:bottom w:val="single" w:color="AAAAAA" w:sz="4"/>
              <w:right w:val="single" w:color="AAAAAA" w:sz="4"/>
            </w:tcBorders>
            <w:shd w:fill="C00000" w:val="clear"/>
            <w:tcMar>
              <w:top w:type="dxa" w:w="100"/>
              <w:left w:type="dxa" w:w="140"/>
              <w:bottom w:type="dxa" w:w="100"/>
              <w:right w:type="dxa" w:w="140"/>
            </w:tcMar>
            <w:vAlign w:val="top"/>
          </w:tcPr>
          <w:p>
            <w:r>
              <w:rPr>
                <w:rFonts w:ascii="Arial" w:cs="Arial" w:eastAsia="Arial" w:hAnsi="Arial"/>
                <w:b/>
                <w:bCs/>
                <w:color w:val="FFFFFF"/>
                <w:sz w:val="16"/>
                <w:szCs w:val="16"/>
              </w:rPr>
              <w:t xml:space="preserve">MUST CLEAR</w:t>
            </w:r>
          </w:p>
          <w:p>
            <w:pPr>
              <w:spacing w:before="40"/>
            </w:pPr>
            <w:r>
              <w:rPr>
                <w:rFonts w:ascii="Arial" w:cs="Arial" w:eastAsia="Arial" w:hAnsi="Arial"/>
                <w:b/>
                <w:bCs/>
                <w:color w:val="FFFFFF"/>
                <w:sz w:val="18"/>
                <w:szCs w:val="18"/>
              </w:rPr>
              <w:t xml:space="preserve">TX Foreign Ownership Prohibition</w:t>
            </w:r>
          </w:p>
        </w:tc>
        <w:tc>
          <w:tcPr>
            <w:tcW w:type="dxa" w:w="702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vAlign w:val="top"/>
          </w:tcPr>
          <w:p>
            <w:r>
              <w:rPr>
                <w:rFonts w:ascii="Arial" w:cs="Arial" w:eastAsia="Arial" w:hAnsi="Arial"/>
                <w:color w:val="404040"/>
                <w:sz w:val="19"/>
                <w:szCs w:val="19"/>
              </w:rPr>
              <w:t xml:space="preserve">Subchapter H, Chapter 5, Texas Property Code (eff. Sept. 1, 2025): Prohibited foreign entities/persons may NOT acquire real property in Texas. Any violation is excluded from policy coverage. If any prohibited foreign party is involved, the Company MUST be notified in writing. The Company will not knowingly insure a transaction violating this law.</w:t>
            </w:r>
          </w:p>
        </w:tc>
      </w:tr>
    </w:tbl>
    <w:p>
      <w:pPr>
        <w:spacing w:after="400"/>
      </w:pPr>
    </w:p>
    <w:p>
      <w:r>
        <w:br w:type="page"/>
      </w:r>
    </w:p>
    <w:p>
      <w:pPr>
        <w:pStyle w:val="Heading1"/>
        <w:spacing w:after="80" w:before="320"/>
      </w:pPr>
      <w:r>
        <w:rPr>
          <w:rFonts w:ascii="Arial" w:cs="Arial" w:eastAsia="Arial" w:hAnsi="Arial"/>
          <w:b/>
          <w:bCs/>
          <w:color w:val="C00000"/>
          <w:sz w:val="28"/>
          <w:szCs w:val="28"/>
        </w:rPr>
        <w:t xml:space="preserve">V.  KEY WARNINGS &amp; EXAMINER’S NOTES</w:t>
      </w:r>
    </w:p>
    <w:p>
      <w:pPr>
        <w:pBdr>
          <w:bottom w:val="single" w:color="C00000" w:sz="8" w:space="1"/>
        </w:pBdr>
        <w:spacing w:after="16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C00000" w:sz="12"/>
              <w:bottom w:val="single" w:color="AAAAAA" w:sz="4"/>
              <w:right w:val="single" w:color="AAAAAA" w:sz="4"/>
            </w:tcBorders>
            <w:shd w:fill="FCE4D6" w:val="clear"/>
            <w:tcMar>
              <w:top w:type="dxa" w:w="120"/>
              <w:left w:type="dxa" w:w="160"/>
              <w:bottom w:type="dxa" w:w="120"/>
              <w:right w:type="dxa" w:w="160"/>
            </w:tcMar>
          </w:tcPr>
          <w:p>
            <w:pPr>
              <w:spacing w:after="60"/>
            </w:pPr>
            <w:r>
              <w:rPr>
                <w:rFonts w:ascii="Arial" w:cs="Arial" w:eastAsia="Arial" w:hAnsi="Arial"/>
                <w:b/>
                <w:bCs/>
                <w:color w:val="C00000"/>
                <w:sz w:val="20"/>
                <w:szCs w:val="20"/>
              </w:rPr>
              <w:t xml:space="preserve">⚠ CRITICAL — Outstanding Deed of Trust Must Be Released</w:t>
            </w:r>
          </w:p>
          <w:p>
            <w:r>
              <w:rPr>
                <w:rFonts w:ascii="Arial" w:cs="Arial" w:eastAsia="Arial" w:hAnsi="Arial"/>
                <w:color w:val="404040"/>
                <w:sz w:val="19"/>
                <w:szCs w:val="19"/>
              </w:rPr>
              <w:t xml:space="preserve">A Deed of Trust in favor of Lakeview Loan Servicing, LLC (via MERS) in the amount of $165,138.00 remains of record (CCF No. 20220083050). This lien MUST be paid in full and a proper Release of Deed of Trust executed and recorded before or at closing. No owner or loan policy can be issued without this release. Obtain payoff demand immediately.</w:t>
            </w:r>
          </w:p>
        </w:tc>
      </w:tr>
      <w:tr>
        <w:tc>
          <w:tcPr>
            <w:tcW w:type="dxa" w:w="10080"/>
            <w:tcBorders>
              <w:top w:val="single" w:color="AAAAAA" w:sz="4"/>
              <w:left w:val="single" w:color="C00000" w:sz="12"/>
              <w:bottom w:val="single" w:color="AAAAAA" w:sz="4"/>
              <w:right w:val="single" w:color="AAAAAA" w:sz="4"/>
            </w:tcBorders>
            <w:shd w:fill="FCE4D6" w:val="clear"/>
            <w:tcMar>
              <w:top w:type="dxa" w:w="120"/>
              <w:left w:type="dxa" w:w="160"/>
              <w:bottom w:type="dxa" w:w="120"/>
              <w:right w:type="dxa" w:w="160"/>
            </w:tcMar>
          </w:tcPr>
          <w:p>
            <w:pPr>
              <w:spacing w:after="60"/>
            </w:pPr>
            <w:r>
              <w:rPr>
                <w:rFonts w:ascii="Arial" w:cs="Arial" w:eastAsia="Arial" w:hAnsi="Arial"/>
                <w:b/>
                <w:bCs/>
                <w:color w:val="C00000"/>
                <w:sz w:val="20"/>
                <w:szCs w:val="20"/>
              </w:rPr>
              <w:t xml:space="preserve">⚠ CRITICAL — FinCEN RRE Rule Compliance (Effective March 1, 2026)</w:t>
            </w:r>
          </w:p>
          <w:p>
            <w:r>
              <w:rPr>
                <w:rFonts w:ascii="Arial" w:cs="Arial" w:eastAsia="Arial" w:hAnsi="Arial"/>
                <w:color w:val="404040"/>
                <w:sz w:val="19"/>
                <w:szCs w:val="19"/>
              </w:rPr>
              <w:t xml:space="preserve">This transaction closes after the effective date of the FinCEN Residential Real Estate Reporting Rule under the Bank Secrecy Act. The closing agent (Reporting Person) must collect and report required beneficial ownership and transaction information. Failure to comply is a federal offense. Confirm reporting procedures with compliance counsel before closing.</w:t>
            </w:r>
          </w:p>
        </w:tc>
      </w:tr>
      <w:tr>
        <w:tc>
          <w:tcPr>
            <w:tcW w:type="dxa" w:w="10080"/>
            <w:tcBorders>
              <w:top w:val="single" w:color="AAAAAA" w:sz="4"/>
              <w:left w:val="single" w:color="C00000" w:sz="12"/>
              <w:bottom w:val="single" w:color="AAAAAA" w:sz="4"/>
              <w:right w:val="single" w:color="AAAAAA" w:sz="4"/>
            </w:tcBorders>
            <w:shd w:fill="FCE4D6" w:val="clear"/>
            <w:tcMar>
              <w:top w:type="dxa" w:w="120"/>
              <w:left w:type="dxa" w:w="160"/>
              <w:bottom w:type="dxa" w:w="120"/>
              <w:right w:type="dxa" w:w="160"/>
            </w:tcMar>
          </w:tcPr>
          <w:p>
            <w:pPr>
              <w:spacing w:after="60"/>
            </w:pPr>
            <w:r>
              <w:rPr>
                <w:rFonts w:ascii="Arial" w:cs="Arial" w:eastAsia="Arial" w:hAnsi="Arial"/>
                <w:b/>
                <w:bCs/>
                <w:color w:val="C00000"/>
                <w:sz w:val="20"/>
                <w:szCs w:val="20"/>
              </w:rPr>
              <w:t xml:space="preserve">⚠ CRITICAL — Texas Foreign Ownership Prohibition (Sept. 1, 2025)</w:t>
            </w:r>
          </w:p>
          <w:p>
            <w:r>
              <w:rPr>
                <w:rFonts w:ascii="Arial" w:cs="Arial" w:eastAsia="Arial" w:hAnsi="Arial"/>
                <w:color w:val="404040"/>
                <w:sz w:val="19"/>
                <w:szCs w:val="19"/>
              </w:rPr>
              <w:t xml:space="preserve">Texas Property Code Subchapter H prohibits certain foreign parties from owning Texas real property. Any violation is specifically excluded from title insurance coverage. All parties must be verified as non-prohibited before the Company will proceed. Written notification to the Company is required if any prohibited party is involved.</w:t>
            </w:r>
          </w:p>
        </w:tc>
      </w:tr>
      <w:tr>
        <w:tc>
          <w:tcPr>
            <w:tcW w:type="dxa" w:w="10080"/>
            <w:tcBorders>
              <w:top w:val="single" w:color="AAAAAA" w:sz="4"/>
              <w:left w:val="single" w:color="C55A11" w:sz="12"/>
              <w:bottom w:val="single" w:color="AAAAAA" w:sz="4"/>
              <w:right w:val="single" w:color="AAAAAA" w:sz="4"/>
            </w:tcBorders>
            <w:shd w:fill="FFF2CC" w:val="clear"/>
            <w:tcMar>
              <w:top w:type="dxa" w:w="120"/>
              <w:left w:type="dxa" w:w="160"/>
              <w:bottom w:type="dxa" w:w="120"/>
              <w:right w:type="dxa" w:w="160"/>
            </w:tcMar>
          </w:tcPr>
          <w:p>
            <w:pPr>
              <w:spacing w:after="60"/>
            </w:pPr>
            <w:r>
              <w:rPr>
                <w:rFonts w:ascii="Arial" w:cs="Arial" w:eastAsia="Arial" w:hAnsi="Arial"/>
                <w:b/>
                <w:bCs/>
                <w:color w:val="C55A11"/>
                <w:sz w:val="20"/>
                <w:szCs w:val="20"/>
              </w:rPr>
              <w:t xml:space="preserve">⚠ HIGH — Dual HOA Membership &amp; Outstanding Assessments</w:t>
            </w:r>
          </w:p>
          <w:p>
            <w:r>
              <w:rPr>
                <w:rFonts w:ascii="Arial" w:cs="Arial" w:eastAsia="Arial" w:hAnsi="Arial"/>
                <w:color w:val="404040"/>
                <w:sz w:val="19"/>
                <w:szCs w:val="19"/>
              </w:rPr>
              <w:t xml:space="preserve">The property is subject to TWO homeowner associations: The Boulders HOA, Inc. and Boulder Canyon HOA, Inc. Both require full payment of all outstanding assessments before closing. Current payoff statements and ledgers should be obtained from both associations immediately.</w:t>
            </w:r>
          </w:p>
        </w:tc>
      </w:tr>
      <w:tr>
        <w:tc>
          <w:tcPr>
            <w:tcW w:type="dxa" w:w="10080"/>
            <w:tcBorders>
              <w:top w:val="single" w:color="AAAAAA" w:sz="4"/>
              <w:left w:val="single" w:color="C55A11" w:sz="12"/>
              <w:bottom w:val="single" w:color="AAAAAA" w:sz="4"/>
              <w:right w:val="single" w:color="AAAAAA" w:sz="4"/>
            </w:tcBorders>
            <w:shd w:fill="FFF2CC" w:val="clear"/>
            <w:tcMar>
              <w:top w:type="dxa" w:w="120"/>
              <w:left w:type="dxa" w:w="160"/>
              <w:bottom w:type="dxa" w:w="120"/>
              <w:right w:type="dxa" w:w="160"/>
            </w:tcMar>
          </w:tcPr>
          <w:p>
            <w:pPr>
              <w:spacing w:after="60"/>
            </w:pPr>
            <w:r>
              <w:rPr>
                <w:rFonts w:ascii="Arial" w:cs="Arial" w:eastAsia="Arial" w:hAnsi="Arial"/>
                <w:b/>
                <w:bCs/>
                <w:color w:val="C55A11"/>
                <w:sz w:val="20"/>
                <w:szCs w:val="20"/>
              </w:rPr>
              <w:t xml:space="preserve">⚠ HIGH — Marital Status of Sellers: La Judice &amp; Callan</w:t>
            </w:r>
          </w:p>
          <w:p>
            <w:r>
              <w:rPr>
                <w:rFonts w:ascii="Arial" w:cs="Arial" w:eastAsia="Arial" w:hAnsi="Arial"/>
                <w:color w:val="404040"/>
                <w:sz w:val="19"/>
                <w:szCs w:val="19"/>
              </w:rPr>
              <w:t xml:space="preserve">The existing Deed of Trust identifies the grantors as 'domestic partner / non-married.' This status must be re-confirmed as of the date of closing. If either party has since married, spousal joinder is mandatory for any valid conveyance or encumbrance. Failure to obtain joinder may render the deed or lien defective.</w:t>
            </w:r>
          </w:p>
        </w:tc>
      </w:tr>
      <w:tr>
        <w:tc>
          <w:tcPr>
            <w:tcW w:type="dxa" w:w="10080"/>
            <w:tcBorders>
              <w:top w:val="single" w:color="AAAAAA" w:sz="4"/>
              <w:left w:val="single" w:color="C55A11" w:sz="12"/>
              <w:bottom w:val="single" w:color="AAAAAA" w:sz="4"/>
              <w:right w:val="single" w:color="AAAAAA" w:sz="4"/>
            </w:tcBorders>
            <w:shd w:fill="FFF2CC" w:val="clear"/>
            <w:tcMar>
              <w:top w:type="dxa" w:w="120"/>
              <w:left w:type="dxa" w:w="160"/>
              <w:bottom w:type="dxa" w:w="120"/>
              <w:right w:type="dxa" w:w="160"/>
            </w:tcMar>
          </w:tcPr>
          <w:p>
            <w:pPr>
              <w:spacing w:after="60"/>
            </w:pPr>
            <w:r>
              <w:rPr>
                <w:rFonts w:ascii="Arial" w:cs="Arial" w:eastAsia="Arial" w:hAnsi="Arial"/>
                <w:b/>
                <w:bCs/>
                <w:color w:val="C55A11"/>
                <w:sz w:val="20"/>
                <w:szCs w:val="20"/>
              </w:rPr>
              <w:t xml:space="preserve">⚠ HIGH — Mineral Interest: Title Not Investigated</w:t>
            </w:r>
          </w:p>
          <w:p>
            <w:r>
              <w:rPr>
                <w:rFonts w:ascii="Arial" w:cs="Arial" w:eastAsia="Arial" w:hAnsi="Arial"/>
                <w:color w:val="404040"/>
                <w:sz w:val="19"/>
                <w:szCs w:val="19"/>
              </w:rPr>
              <w:t xml:space="preserve">A mineral and/or royalty interest is of record (Vol. 1283, Pg. 304, Deed Records). The Company expressly notes that title to this mineral interest has NOT been investigated beyond the recording date. The buyer and lender should be made aware that mineral rights may be severed and held by a third party.</w:t>
            </w:r>
          </w:p>
        </w:tc>
      </w:tr>
      <w:tr>
        <w:tc>
          <w:tcPr>
            <w:tcW w:type="dxa" w:w="10080"/>
            <w:tcBorders>
              <w:top w:val="single" w:color="AAAAAA" w:sz="4"/>
              <w:left w:val="single" w:color="C55A11" w:sz="12"/>
              <w:bottom w:val="single" w:color="AAAAAA" w:sz="4"/>
              <w:right w:val="single" w:color="AAAAAA" w:sz="4"/>
            </w:tcBorders>
            <w:shd w:fill="FFF2CC" w:val="clear"/>
            <w:tcMar>
              <w:top w:type="dxa" w:w="120"/>
              <w:left w:type="dxa" w:w="160"/>
              <w:bottom w:type="dxa" w:w="120"/>
              <w:right w:type="dxa" w:w="160"/>
            </w:tcMar>
          </w:tcPr>
          <w:p>
            <w:pPr>
              <w:spacing w:after="60"/>
            </w:pPr>
            <w:r>
              <w:rPr>
                <w:rFonts w:ascii="Arial" w:cs="Arial" w:eastAsia="Arial" w:hAnsi="Arial"/>
                <w:b/>
                <w:bCs/>
                <w:color w:val="C55A11"/>
                <w:sz w:val="20"/>
                <w:szCs w:val="20"/>
              </w:rPr>
              <w:t xml:space="preserve">⚠ HIGH — Ysleta Aboriginal Title Claim</w:t>
            </w:r>
          </w:p>
          <w:p>
            <w:r>
              <w:rPr>
                <w:rFonts w:ascii="Arial" w:cs="Arial" w:eastAsia="Arial" w:hAnsi="Arial"/>
                <w:color w:val="404040"/>
                <w:sz w:val="19"/>
                <w:szCs w:val="19"/>
              </w:rPr>
              <w:t xml:space="preserve">A recorded affidavit asserts aboriginal title claims over large portions of El Paso County, including potentially this property. While the Company provides defense coverage under the policy, this claim creates a cloud on title and should be disclosed to all parties. Counsel should confirm current status of any related litigation.</w:t>
            </w:r>
          </w:p>
        </w:tc>
      </w:tr>
      <w:tr>
        <w:tc>
          <w:tcPr>
            <w:tcW w:type="dxa" w:w="10080"/>
            <w:tcBorders>
              <w:top w:val="single" w:color="AAAAAA" w:sz="4"/>
              <w:left w:val="single" w:color="7F7F00" w:sz="12"/>
              <w:bottom w:val="single" w:color="AAAAAA" w:sz="4"/>
              <w:right w:val="single" w:color="AAAAAA" w:sz="4"/>
            </w:tcBorders>
            <w:shd w:fill="FFF2CC" w:val="clear"/>
            <w:tcMar>
              <w:top w:type="dxa" w:w="120"/>
              <w:left w:type="dxa" w:w="160"/>
              <w:bottom w:type="dxa" w:w="120"/>
              <w:right w:type="dxa" w:w="160"/>
            </w:tcMar>
          </w:tcPr>
          <w:p>
            <w:pPr>
              <w:spacing w:after="60"/>
            </w:pPr>
            <w:r>
              <w:rPr>
                <w:rFonts w:ascii="Arial" w:cs="Arial" w:eastAsia="Arial" w:hAnsi="Arial"/>
                <w:b/>
                <w:bCs/>
                <w:color w:val="7F7F00"/>
                <w:sz w:val="20"/>
                <w:szCs w:val="20"/>
              </w:rPr>
              <w:t xml:space="preserve">⚠ MODERATE — Survey / Boundary Exception Not Amended</w:t>
            </w:r>
          </w:p>
          <w:p>
            <w:r>
              <w:rPr>
                <w:rFonts w:ascii="Arial" w:cs="Arial" w:eastAsia="Arial" w:hAnsi="Arial"/>
                <w:color w:val="404040"/>
                <w:sz w:val="19"/>
                <w:szCs w:val="19"/>
              </w:rPr>
              <w:t xml:space="preserve">The area and boundary exception (Schedule B Item 2) has not been amended. A current on-the-ground survey (ALTA/NSPS or Texas State survey) should be ordered to identify any encroachments, protrusions, or boundary discrepancies. If a clean survey is provided, the Company may be willing to amend this exception.</w:t>
            </w:r>
          </w:p>
        </w:tc>
      </w:tr>
    </w:tbl>
    <w:p>
      <w:pPr>
        <w:spacing w:after="400"/>
      </w:pPr>
    </w:p>
    <w:p>
      <w:pPr>
        <w:pStyle w:val="Heading1"/>
        <w:spacing w:after="80" w:before="320"/>
      </w:pPr>
      <w:r>
        <w:rPr>
          <w:rFonts w:ascii="Arial" w:cs="Arial" w:eastAsia="Arial" w:hAnsi="Arial"/>
          <w:b/>
          <w:bCs/>
          <w:color w:val="1F3864"/>
          <w:sz w:val="28"/>
          <w:szCs w:val="28"/>
        </w:rPr>
        <w:t xml:space="preserve">VI.  PRE-CLOSING ACTION CHECKLIST</w:t>
      </w:r>
    </w:p>
    <w:p>
      <w:pPr>
        <w:pBdr>
          <w:bottom w:val="single" w:color="2E5496" w:sz="8" w:space="1"/>
        </w:pBdr>
        <w:spacing w:after="160"/>
      </w:pP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480"/>
        <w:gridCol w:w="2000"/>
        <w:gridCol w:w="2000"/>
      </w:tblGrid>
      <w:tr>
        <w:tc>
          <w:tcPr>
            <w:tcW w:type="dxa" w:w="6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top"/>
          </w:tcPr>
          <w:p>
            <w:r>
              <w:rPr>
                <w:rFonts w:ascii="Arial" w:cs="Arial" w:eastAsia="Arial" w:hAnsi="Arial"/>
                <w:b/>
                <w:bCs/>
                <w:color w:val="FFFFFF"/>
                <w:sz w:val="18"/>
                <w:szCs w:val="18"/>
              </w:rPr>
              <w:t xml:space="preserve">#</w:t>
            </w:r>
          </w:p>
        </w:tc>
        <w:tc>
          <w:tcPr>
            <w:tcW w:type="dxa" w:w="548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top"/>
          </w:tcPr>
          <w:p>
            <w:r>
              <w:rPr>
                <w:rFonts w:ascii="Arial" w:cs="Arial" w:eastAsia="Arial" w:hAnsi="Arial"/>
                <w:b/>
                <w:bCs/>
                <w:color w:val="FFFFFF"/>
                <w:sz w:val="18"/>
                <w:szCs w:val="18"/>
              </w:rPr>
              <w:t xml:space="preserve">Action Required</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top"/>
          </w:tcPr>
          <w:p>
            <w:r>
              <w:rPr>
                <w:rFonts w:ascii="Arial" w:cs="Arial" w:eastAsia="Arial" w:hAnsi="Arial"/>
                <w:b/>
                <w:bCs/>
                <w:color w:val="FFFFFF"/>
                <w:sz w:val="18"/>
                <w:szCs w:val="18"/>
              </w:rPr>
              <w:t xml:space="preserve">Priority</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top"/>
          </w:tcPr>
          <w:p>
            <w:r>
              <w:rPr>
                <w:rFonts w:ascii="Arial" w:cs="Arial" w:eastAsia="Arial" w:hAnsi="Arial"/>
                <w:b/>
                <w:bCs/>
                <w:color w:val="FFFFFF"/>
                <w:sz w:val="18"/>
                <w:szCs w:val="18"/>
              </w:rPr>
              <w:t xml:space="preserve">Status</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Obtain payoff demand &amp; arrange release of Lakeview/MERS Deed of Trust (CCF 20220083050)</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C00000"/>
                <w:sz w:val="18"/>
                <w:szCs w:val="18"/>
              </w:rPr>
              <w:t xml:space="preserve">CRITICAL</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2</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Collect FinCEN RRE Rule required information; confirm Reporting Person designation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C00000"/>
                <w:sz w:val="18"/>
                <w:szCs w:val="18"/>
              </w:rPr>
              <w:t xml:space="preserve">CRITICAL</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3</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Verify all parties are non-prohibited under TX Property Code Subchapter H; document</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C00000"/>
                <w:sz w:val="18"/>
                <w:szCs w:val="18"/>
              </w:rPr>
              <w:t xml:space="preserve">CRITICAL</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4</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Obtain current payoff/ledger from The Boulders HOA, Inc.</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5</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Obtain current payoff/ledger from Boulder Canyon HOA, Inc.</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6</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Furnish certified marital status of Shelley Lynn La Judice (date of acquisition to closing)</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7</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Furnish certified marital status of Steven V. Callan (date of acquisition to closing)</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8</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Obtain marital status affidavit from proposed buyer Marisela Acedo; add spouse if applicable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9</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Order current property tax certificates for El Paso County — confirm 2026 taxes &amp; all prior years paid</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10</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Review all referenced restrictive covenant instruments; confirm no active violations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11</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Confirm zoning compliance per Ordinance No. 13488 conditions (Vol. 3313, Pg. 782)</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C55A11"/>
                <w:sz w:val="18"/>
                <w:szCs w:val="18"/>
              </w:rPr>
              <w:t xml:space="preserve">HIGH</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12</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Order ALTA/NSPS survey to address boundary exception; seek amendment if survey is clean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7F7F00"/>
                <w:sz w:val="18"/>
                <w:szCs w:val="18"/>
              </w:rPr>
              <w:t xml:space="preserve">MODERATE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13</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Obtain seller’s affidavit of possession: no unrecorded parties in possession or tenants</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7F7F00"/>
                <w:sz w:val="18"/>
                <w:szCs w:val="18"/>
              </w:rPr>
              <w:t xml:space="preserve">MODERATE</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14</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Identify location of utility, access, and electric easements relative to existing improvements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7F7F00"/>
                <w:sz w:val="18"/>
                <w:szCs w:val="18"/>
              </w:rPr>
              <w:t xml:space="preserve">MODERATE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15</w:t>
            </w:r>
          </w:p>
        </w:tc>
        <w:tc>
          <w:tcPr>
            <w:tcW w:type="dxa" w:w="548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404040"/>
                <w:sz w:val="18"/>
                <w:szCs w:val="18"/>
              </w:rPr>
              <w:t xml:space="preserve">Research current status of Ysleta Grant aboriginal title claim; advise buyer’s counsel</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7F7F00"/>
                <w:sz w:val="18"/>
                <w:szCs w:val="18"/>
              </w:rPr>
              <w:t xml:space="preserve">MODERATE</w:t>
            </w:r>
          </w:p>
        </w:tc>
        <w:tc>
          <w:tcPr>
            <w:tcW w:type="dxa" w:w="200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r>
        <w:tc>
          <w:tcPr>
            <w:tcW w:type="dxa" w:w="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jc w:val="center"/>
            </w:pPr>
            <w:r>
              <w:rPr>
                <w:rFonts w:ascii="Arial" w:cs="Arial" w:eastAsia="Arial" w:hAnsi="Arial"/>
                <w:b/>
                <w:bCs/>
                <w:color w:val="1F3864"/>
                <w:sz w:val="18"/>
                <w:szCs w:val="18"/>
              </w:rPr>
              <w:t xml:space="preserve">16</w:t>
            </w:r>
          </w:p>
        </w:tc>
        <w:tc>
          <w:tcPr>
            <w:tcW w:type="dxa" w:w="54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404040"/>
                <w:sz w:val="18"/>
                <w:szCs w:val="18"/>
              </w:rPr>
              <w:t xml:space="preserve">Review mineral interest (Vol. 1283, Pg. 304); disclose severed minerals status to all parties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b/>
                <w:bCs/>
                <w:color w:val="7F7F00"/>
                <w:sz w:val="18"/>
                <w:szCs w:val="18"/>
              </w:rPr>
              <w:t xml:space="preserve">MODERATE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r>
              <w:rPr>
                <w:rFonts w:ascii="Arial" w:cs="Arial" w:eastAsia="Arial" w:hAnsi="Arial"/>
                <w:color w:val="999999"/>
                <w:sz w:val="18"/>
                <w:szCs w:val="18"/>
              </w:rPr>
              <w:t xml:space="preserve">[ ]  Pending</w:t>
            </w:r>
          </w:p>
        </w:tc>
      </w:tr>
    </w:tbl>
    <w:p>
      <w:pPr>
        <w:spacing w:after="400"/>
      </w:pPr>
    </w:p>
    <w:p>
      <w:pPr>
        <w:pStyle w:val="Heading1"/>
        <w:spacing w:after="80" w:before="320"/>
      </w:pPr>
      <w:r>
        <w:rPr>
          <w:rFonts w:ascii="Arial" w:cs="Arial" w:eastAsia="Arial" w:hAnsi="Arial"/>
          <w:b/>
          <w:bCs/>
          <w:color w:val="1F3864"/>
          <w:sz w:val="28"/>
          <w:szCs w:val="28"/>
        </w:rPr>
        <w:t xml:space="preserve">VII.  EXAMINER’S DISCLAIMER</w:t>
      </w:r>
    </w:p>
    <w:p>
      <w:pPr>
        <w:pBdr>
          <w:bottom w:val="single" w:color="2E5496" w:sz="8" w:space="1"/>
        </w:pBdr>
        <w:spacing w:after="160"/>
      </w:pPr>
    </w:p>
    <w:p>
      <w:pPr>
        <w:spacing w:after="80"/>
      </w:pPr>
    </w:p>
    <w:p>
      <w:pPr>
        <w:spacing w:after="120"/>
      </w:pPr>
      <w:r>
        <w:rPr>
          <w:rFonts w:ascii="Arial" w:cs="Arial" w:eastAsia="Arial" w:hAnsi="Arial"/>
          <w:color w:val="404040"/>
          <w:sz w:val="20"/>
          <w:szCs w:val="20"/>
        </w:rPr>
        <w:t xml:space="preserve">This Title Examination Report is prepared solely on the basis of the Commitment for Title Insurance (Form T-7), GF No. TX-26-1410, issued by First American Title Insurance Company, and the instruments referenced therein as of the effective date of March 2, 2026. This report does not constitute legal advice and should not be relied upon as a substitute for the opinion of qualified legal counsel. Title exceptions and requirements are subject to change if additional instruments are filed or discovered prior to closing.</w:t>
      </w:r>
    </w:p>
    <w:p>
      <w:pPr>
        <w:spacing w:after="80"/>
      </w:pPr>
    </w:p>
    <w:p>
      <w:pPr>
        <w:spacing w:after="120"/>
      </w:pPr>
      <w:r>
        <w:rPr>
          <w:rFonts w:ascii="Arial" w:cs="Arial" w:eastAsia="Arial" w:hAnsi="Arial"/>
          <w:color w:val="404040"/>
          <w:sz w:val="20"/>
          <w:szCs w:val="20"/>
        </w:rPr>
        <w:t xml:space="preserve">The commitment expires ninety (90) days from its effective date unless the policy is issued sooner. All Schedule C requirements must be satisfied and all Schedule B exceptions must be resolved to the Company’s satisfaction before a clean policy can be issued.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1F3864"/>
                <w:sz w:val="18"/>
                <w:szCs w:val="18"/>
              </w:rPr>
              <w:t xml:space="preserve">Prepared By:</w:t>
            </w:r>
          </w:p>
          <w:p>
            <w:pPr>
              <w:spacing w:after="40"/>
            </w:pPr>
          </w:p>
          <w:p>
            <w:r>
              <w:rPr>
                <w:rFonts w:ascii="Arial" w:cs="Arial" w:eastAsia="Arial" w:hAnsi="Arial"/>
                <w:color w:val="404040"/>
                <w:sz w:val="18"/>
                <w:szCs w:val="18"/>
              </w:rPr>
              <w:t xml:space="preserve">___________________________________</w:t>
            </w:r>
          </w:p>
          <w:p>
            <w:r>
              <w:rPr>
                <w:rFonts w:ascii="Arial" w:cs="Arial" w:eastAsia="Arial" w:hAnsi="Arial"/>
                <w:color w:val="404040"/>
                <w:sz w:val="18"/>
                <w:szCs w:val="18"/>
              </w:rPr>
              <w:t xml:space="preserve">Senior Title Examiner</w:t>
            </w:r>
          </w:p>
          <w:p>
            <w:r>
              <w:rPr>
                <w:rFonts w:ascii="Arial" w:cs="Arial" w:eastAsia="Arial" w:hAnsi="Arial"/>
                <w:color w:val="404040"/>
                <w:sz w:val="18"/>
                <w:szCs w:val="18"/>
              </w:rPr>
              <w:t xml:space="preserve">First American Title Insurance Company</w:t>
            </w:r>
          </w:p>
        </w:tc>
        <w:tc>
          <w:tcPr>
            <w:tcW w:type="dxa" w:w="5040"/>
            <w:tcBorders>
              <w:top w:val="single" w:color="AAAAAA" w:sz="4"/>
              <w:left w:val="single" w:color="AAAAAA" w:sz="4"/>
              <w:bottom w:val="single" w:color="AAAAAA" w:sz="4"/>
              <w:right w:val="single" w:color="AAAAAA" w:sz="4"/>
            </w:tcBorders>
            <w:shd w:fill="F8F9FC" w:val="clear"/>
            <w:tcMar>
              <w:top w:type="dxa" w:w="100"/>
              <w:left w:type="dxa" w:w="140"/>
              <w:bottom w:type="dxa" w:w="100"/>
              <w:right w:type="dxa" w:w="140"/>
            </w:tcMar>
            <w:vAlign w:val="top"/>
          </w:tcPr>
          <w:p>
            <w:r>
              <w:rPr>
                <w:rFonts w:ascii="Arial" w:cs="Arial" w:eastAsia="Arial" w:hAnsi="Arial"/>
                <w:b/>
                <w:bCs/>
                <w:color w:val="1F3864"/>
                <w:sz w:val="18"/>
                <w:szCs w:val="18"/>
              </w:rPr>
              <w:t xml:space="preserve">Report Date:</w:t>
            </w:r>
          </w:p>
          <w:p>
            <w:pPr>
              <w:spacing w:after="40"/>
            </w:pPr>
          </w:p>
          <w:p>
            <w:r>
              <w:rPr>
                <w:rFonts w:ascii="Arial" w:cs="Arial" w:eastAsia="Arial" w:hAnsi="Arial"/>
                <w:color w:val="404040"/>
                <w:sz w:val="18"/>
                <w:szCs w:val="18"/>
              </w:rPr>
              <w:t xml:space="preserve">March 14, 2026</w:t>
            </w:r>
          </w:p>
          <w:p>
            <w:pPr>
              <w:spacing w:after="60"/>
            </w:pPr>
          </w:p>
          <w:p>
            <w:r>
              <w:rPr>
                <w:rFonts w:ascii="Arial" w:cs="Arial" w:eastAsia="Arial" w:hAnsi="Arial"/>
                <w:color w:val="404040"/>
                <w:sz w:val="18"/>
                <w:szCs w:val="18"/>
              </w:rPr>
              <w:t xml:space="preserve">File Reference: TX-26-1410 / FAF 111157928</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80"/>
    </w:pPr>
    <w:r>
      <w:rPr>
        <w:rFonts w:ascii="Arial" w:cs="Arial" w:eastAsia="Arial" w:hAnsi="Arial"/>
        <w:color w:val="404040"/>
        <w:sz w:val="16"/>
        <w:szCs w:val="16"/>
      </w:rPr>
      <w:t xml:space="preserve">Prepared by: Senior Title Examiner  |  First American Title Insurance Company  |  Confidential</w:t>
    </w:r>
    <w:r>
      <w:rPr>
        <w:rFonts w:ascii="Arial" w:cs="Arial" w:eastAsia="Arial" w:hAnsi="Arial"/>
        <w:color w:val="404040"/>
        <w:sz w:val="16"/>
        <w:szCs w:val="16"/>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1F3864" w:sz="6"/>
            <w:right w:val="none" w:color="FFFFFF" w:sz="0"/>
          </w:tcBorders>
          <w:tcMar>
            <w:bottom w:type="dxa" w:w="60"/>
          </w:tcMar>
        </w:tcPr>
        <w:p>
          <w:r>
            <w:rPr>
              <w:rFonts w:ascii="Arial" w:cs="Arial" w:eastAsia="Arial" w:hAnsi="Arial"/>
              <w:b/>
              <w:bCs/>
              <w:color w:val="1F3864"/>
              <w:sz w:val="18"/>
              <w:szCs w:val="18"/>
            </w:rPr>
            <w:t xml:space="preserve">TITLE EXAMINATION REPORT  —  EXCEPTIONS &amp; WARNINGS</w:t>
          </w:r>
        </w:p>
      </w:tc>
      <w:tc>
        <w:tcPr>
          <w:tcW w:type="dxa" w:w="3080"/>
          <w:tcBorders>
            <w:top w:val="none" w:color="FFFFFF" w:sz="0"/>
            <w:left w:val="none" w:color="FFFFFF" w:sz="0"/>
            <w:bottom w:val="single" w:color="1F3864" w:sz="6"/>
            <w:right w:val="none" w:color="FFFFFF" w:sz="0"/>
          </w:tcBorders>
          <w:tcMar>
            <w:bottom w:type="dxa" w:w="60"/>
          </w:tcMar>
        </w:tcPr>
        <w:p>
          <w:pPr>
            <w:jc w:val="right"/>
          </w:pPr>
          <w:r>
            <w:rPr>
              <w:rFonts w:ascii="Arial" w:cs="Arial" w:eastAsia="Arial" w:hAnsi="Arial"/>
              <w:color w:val="404040"/>
              <w:sz w:val="18"/>
              <w:szCs w:val="18"/>
            </w:rPr>
            <w:t xml:space="preserve">GF No. TX-26-1410</w:t>
          </w:r>
        </w:p>
      </w:tc>
    </w:tr>
  </w:tbl>
  <w:p>
    <w:pP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2026-04-01T03:51:01.211Z</dcterms:created>
  <dcterms:modified xsi:type="dcterms:W3CDTF">2026-04-01T03:51:01.211Z</dcterms:modified>
</cp:coreProperties>
</file>

<file path=docProps/custom.xml><?xml version="1.0" encoding="utf-8"?>
<Properties xmlns="http://schemas.openxmlformats.org/officeDocument/2006/custom-properties" xmlns:vt="http://schemas.openxmlformats.org/officeDocument/2006/docPropsVTypes"/>
</file>