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30f427d0cb24a5d7cdbf0a5b5544cdb1ce58426"/>
    <w:p>
      <w:pPr>
        <w:pStyle w:val="Heading1"/>
      </w:pPr>
      <w:r>
        <w:t xml:space="preserve">EDITPCUSTXRREF Configuration Guide — 810 &amp; INVOIC Options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2026-03-24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EDITEST.EDITPCUSTXRREF</w:t>
      </w:r>
      <w:r>
        <w:t xml:space="preserve"> </w:t>
      </w:r>
      <w:r>
        <w:t xml:space="preserve">table controls how each trading partner’s invoices are generated. Each row maps a ship-to customer number to a set of options that determine the format, content, and structure of the outbound 810 (X12) or INVOIC (EDIFACT) document. This document explains every option a business analyst needs to understand when setting up or modifying a customer’s invoice configuration.</w:t>
      </w:r>
    </w:p>
    <w:p>
      <w:r>
        <w:pict>
          <v:rect style="width:0;height:1.5pt" o:hralign="center" o:hrstd="t" o:hr="t"/>
        </w:pict>
      </w:r>
    </w:p>
    <w:bookmarkStart w:id="11" w:name="master-switch"/>
    <w:p>
      <w:pPr>
        <w:pStyle w:val="Heading2"/>
      </w:pPr>
      <w:r>
        <w:t xml:space="preserve">Master Switch</w:t>
      </w:r>
    </w:p>
    <w:bookmarkStart w:id="9" w:name="Xb8edb94d1339811a8de1ee1c8ae89f067ae4929"/>
    <w:p>
      <w:pPr>
        <w:pStyle w:val="Heading3"/>
      </w:pPr>
      <w:r>
        <w:t xml:space="preserve">SEND810INVOICE — Enable/Disable Invoice Generation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Invoices will be generated for this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Customer is completely skipped — no output produced</w:t>
            </w:r>
          </w:p>
        </w:tc>
      </w:tr>
    </w:tbl>
    <w:p>
      <w:pPr>
        <w:pStyle w:val="BodyText"/>
      </w:pPr>
      <w:r>
        <w:t xml:space="preserve">This is the first thing to set. If N, nothing else in this table matters for this customer.</w:t>
      </w:r>
    </w:p>
    <w:bookmarkEnd w:id="9"/>
    <w:bookmarkStart w:id="10" w:name="send810type-document-format"/>
    <w:p>
      <w:pPr>
        <w:pStyle w:val="Heading3"/>
      </w:pPr>
      <w:r>
        <w:t xml:space="preserve">SEND810TYPE — Document Format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X12</w:t>
            </w:r>
          </w:p>
        </w:tc>
        <w:tc>
          <w:tcPr/>
          <w:p>
            <w:pPr>
              <w:pStyle w:val="Compact"/>
            </w:pPr>
            <w:r>
              <w:t xml:space="preserve">ANSI X12 810 Invoice format (US standard)</w:t>
            </w:r>
          </w:p>
        </w:tc>
        <w:tc>
          <w:tcPr/>
          <w:p>
            <w:pPr>
              <w:pStyle w:val="Compact"/>
            </w:pPr>
            <w:r>
              <w:t xml:space="preserve">EDI810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EDIFACT</w:t>
            </w:r>
          </w:p>
        </w:tc>
        <w:tc>
          <w:tcPr/>
          <w:p>
            <w:pPr>
              <w:pStyle w:val="Compact"/>
            </w:pPr>
            <w:r>
              <w:t xml:space="preserve">UN/EDIFACT INVOIC format (international)</w:t>
            </w:r>
          </w:p>
        </w:tc>
        <w:tc>
          <w:tcPr/>
          <w:p>
            <w:pPr>
              <w:pStyle w:val="Compact"/>
            </w:pPr>
            <w:r>
              <w:t xml:space="preserve">INVOICE</w:t>
            </w:r>
          </w:p>
        </w:tc>
      </w:tr>
    </w:tbl>
    <w:p>
      <w:pPr>
        <w:pStyle w:val="BodyText"/>
      </w:pPr>
      <w:r>
        <w:t xml:space="preserve">Determines which program processes the customer and which document standard is used. Most domestic customers use X12. International customers (ZF, Cummins, Volvo) use EDIFACT.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invoice-header-options-x12-only"/>
    <w:p>
      <w:pPr>
        <w:pStyle w:val="Heading2"/>
      </w:pPr>
      <w:r>
        <w:t xml:space="preserve">Invoice Header Options (X12 only)</w:t>
      </w:r>
    </w:p>
    <w:bookmarkStart w:id="12" w:name="X09e756217fe4da6366551c8401d949d77a81aaf"/>
    <w:p>
      <w:pPr>
        <w:pStyle w:val="Heading3"/>
      </w:pPr>
      <w:r>
        <w:t xml:space="preserve">INV810TRANSTYPE — Transaction Type Code (BIG07)</w:t>
      </w:r>
    </w:p>
    <w:p>
      <w:pPr>
        <w:pStyle w:val="FirstParagraph"/>
      </w:pPr>
      <w:r>
        <w:t xml:space="preserve">Controls what type of invoice this is. Appears in the BIG segment (Beginning Segment for Invoice).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EDI Meaning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Debit Invoice (Original)</w:t>
            </w:r>
          </w:p>
        </w:tc>
        <w:tc>
          <w:tcPr/>
          <w:p>
            <w:pPr>
              <w:pStyle w:val="Compact"/>
            </w:pPr>
            <w:r>
              <w:t xml:space="preserve">Standard first-time invoice — the most common setting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Debit Invoice (Reissue)</w:t>
            </w:r>
          </w:p>
        </w:tc>
        <w:tc>
          <w:tcPr/>
          <w:p>
            <w:pPr>
              <w:pStyle w:val="Compact"/>
            </w:pPr>
            <w:r>
              <w:t xml:space="preserve">Replacement invoice (e.g., Baldor Electric)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Consolidated Invoice</w:t>
            </w:r>
          </w:p>
        </w:tc>
        <w:tc>
          <w:tcPr/>
          <w:p>
            <w:pPr>
              <w:pStyle w:val="Compact"/>
            </w:pPr>
            <w:r>
              <w:t xml:space="preserve">Multiple shipments billed together (e.g., Hyster-Yale)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Credit/Adjustment</w:t>
            </w:r>
          </w:p>
        </w:tc>
        <w:tc>
          <w:tcPr/>
          <w:p>
            <w:pPr>
              <w:pStyle w:val="Compact"/>
            </w:pPr>
            <w:r>
              <w:t xml:space="preserve">Credit memo or price adjustment (e.g., Caterpillar SAP)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Default:</w:t>
      </w:r>
      <w:r>
        <w:t xml:space="preserve"> </w:t>
      </w:r>
      <w:r>
        <w:t xml:space="preserve">DI</w:t>
      </w:r>
    </w:p>
    <w:bookmarkEnd w:id="12"/>
    <w:bookmarkStart w:id="13" w:name="X3261985d2145e8a0513d25f689f3642e12491eb"/>
    <w:p>
      <w:pPr>
        <w:pStyle w:val="Heading3"/>
      </w:pPr>
      <w:r>
        <w:t xml:space="preserve">INV810SENDBIGPODT — Include PO Date in Invoice Header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Ship date is placed in BIG03 (Purchase Order 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BIG03 is left empty</w:t>
            </w:r>
          </w:p>
        </w:tc>
      </w:tr>
    </w:tbl>
    <w:p>
      <w:pPr>
        <w:pStyle w:val="BodyText"/>
      </w:pPr>
      <w:r>
        <w:t xml:space="preserve">Most trading partners don’t require this.</w:t>
      </w:r>
      <w:r>
        <w:t xml:space="preserve"> </w:t>
      </w:r>
      <w:r>
        <w:rPr>
          <w:b/>
          <w:bCs/>
        </w:rPr>
        <w:t xml:space="preserve">Default:</w:t>
      </w:r>
      <w:r>
        <w:t xml:space="preserve"> </w:t>
      </w:r>
      <w:r>
        <w:t xml:space="preserve">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currency-payment-terms-x12-only"/>
    <w:p>
      <w:pPr>
        <w:pStyle w:val="Heading2"/>
      </w:pPr>
      <w:r>
        <w:t xml:space="preserve">Currency &amp; Payment Terms (X12 only)</w:t>
      </w:r>
    </w:p>
    <w:bookmarkStart w:id="15" w:name="inv810curpartycode-currency-owner-cur01"/>
    <w:p>
      <w:pPr>
        <w:pStyle w:val="Heading3"/>
      </w:pPr>
      <w:r>
        <w:t xml:space="preserve">INV810CURPARTYCODE — Currency Owner (CUR01)</w:t>
      </w:r>
    </w:p>
    <w:p>
      <w:pPr>
        <w:pStyle w:val="FirstParagraph"/>
      </w:pPr>
      <w:r>
        <w:t xml:space="preserve">Identifies whose currency is being stated on the invoice.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</w:t>
            </w:r>
          </w:p>
        </w:tc>
        <w:tc>
          <w:tcPr/>
          <w:p>
            <w:pPr>
              <w:pStyle w:val="Compact"/>
            </w:pPr>
            <w:r>
              <w:t xml:space="preserve">Buyer’s currency</w:t>
            </w:r>
          </w:p>
        </w:tc>
        <w:tc>
          <w:tcPr/>
          <w:p>
            <w:pPr>
              <w:pStyle w:val="Compact"/>
            </w:pPr>
            <w:r>
              <w:t xml:space="preserve">Most customers (JD, Ford, GM, Discovery)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Seller’s currency</w:t>
            </w:r>
          </w:p>
        </w:tc>
        <w:tc>
          <w:tcPr/>
          <w:p>
            <w:pPr>
              <w:pStyle w:val="Compact"/>
            </w:pPr>
            <w:r>
              <w:t xml:space="preserve">Caterpillar locations, Baldor, Hyster-Yale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</w:t>
            </w:r>
          </w:p>
        </w:tc>
        <w:tc>
          <w:tcPr/>
          <w:p>
            <w:pPr>
              <w:pStyle w:val="Compact"/>
            </w:pPr>
            <w:r>
              <w:t xml:space="preserve">Supplier’s currency</w:t>
            </w:r>
          </w:p>
        </w:tc>
        <w:tc>
          <w:tcPr/>
          <w:p>
            <w:pPr>
              <w:pStyle w:val="Compact"/>
            </w:pPr>
            <w:r>
              <w:t xml:space="preserve">Sauerdanfoss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ZZ</w:t>
            </w:r>
          </w:p>
        </w:tc>
        <w:tc>
          <w:tcPr/>
          <w:p>
            <w:pPr>
              <w:pStyle w:val="Compact"/>
            </w:pPr>
            <w:r>
              <w:t xml:space="preserve">Mutually defined</w:t>
            </w:r>
          </w:p>
        </w:tc>
        <w:tc>
          <w:tcPr/>
          <w:p>
            <w:pPr>
              <w:pStyle w:val="Compact"/>
            </w:pPr>
            <w:r>
              <w:t xml:space="preserve">Discovery Energy</w:t>
            </w:r>
          </w:p>
        </w:tc>
      </w:tr>
    </w:tbl>
    <w:p>
      <w:pPr>
        <w:pStyle w:val="BodyText"/>
      </w:pPr>
      <w:r>
        <w:t xml:space="preserve">All invoices are in USD. This code tells the receiver’s system which party</w:t>
      </w:r>
      <w:r>
        <w:t xml:space="preserve"> </w:t>
      </w:r>
      <w:r>
        <w:t xml:space="preserve">“owns”</w:t>
      </w:r>
      <w:r>
        <w:t xml:space="preserve"> </w:t>
      </w:r>
      <w:r>
        <w:t xml:space="preserve">the currency declaration. The trading partner’s EDI spec will say which value they require.</w:t>
      </w:r>
      <w:r>
        <w:t xml:space="preserve"> </w:t>
      </w:r>
      <w:r>
        <w:rPr>
          <w:b/>
          <w:bCs/>
        </w:rPr>
        <w:t xml:space="preserve">Default:</w:t>
      </w:r>
      <w:r>
        <w:t xml:space="preserve"> </w:t>
      </w:r>
      <w:r>
        <w:t xml:space="preserve">BY</w:t>
      </w:r>
    </w:p>
    <w:bookmarkEnd w:id="15"/>
    <w:bookmarkStart w:id="16" w:name="X6323f1d10cef41c569a64bb7ed5b695acf29af9"/>
    <w:p>
      <w:pPr>
        <w:pStyle w:val="Heading3"/>
      </w:pPr>
      <w:r>
        <w:t xml:space="preserve">INV810ITDTYPECODE — Payment Terms Type (ITD01)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Discount not applicable — standard net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Special terms (used for extended net periods)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Skip the ITD segment entirely</w:t>
            </w:r>
          </w:p>
        </w:tc>
      </w:tr>
    </w:tbl>
    <w:bookmarkEnd w:id="16"/>
    <w:bookmarkStart w:id="17" w:name="inv810itdnetdays-net-payment-days-itd07"/>
    <w:p>
      <w:pPr>
        <w:pStyle w:val="Heading3"/>
      </w:pPr>
      <w:r>
        <w:t xml:space="preserve">INV810ITDNETDAYS — Net Payment Days (ITD07)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Payment due in 30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Payment due in 60 days</w:t>
            </w:r>
          </w:p>
        </w:tc>
      </w:tr>
    </w:tbl>
    <w:bookmarkEnd w:id="17"/>
    <w:bookmarkStart w:id="18" w:name="X5b995d50b7beceaec596659037fc1232e855229"/>
    <w:p>
      <w:pPr>
        <w:pStyle w:val="Heading3"/>
      </w:pPr>
      <w:r>
        <w:t xml:space="preserve">INV810ITDDISCPCT / INV810ITDDISCDAYS — Discount Terms</w:t>
      </w:r>
    </w:p>
    <w:p>
      <w:pPr>
        <w:pStyle w:val="FirstParagraph"/>
      </w:pPr>
      <w:r>
        <w:t xml:space="preserve">Currently unused by all customers. If populated (e.g.,</w:t>
      </w:r>
      <w:r>
        <w:t xml:space="preserve"> </w:t>
      </w:r>
      <w:r>
        <w:rPr>
          <w:rStyle w:val="VerbatimChar"/>
        </w:rPr>
        <w:t xml:space="preserve">2.00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</w:t>
      </w:r>
      <w:r>
        <w:t xml:space="preserve">), the invoice would show</w:t>
      </w:r>
      <w:r>
        <w:t xml:space="preserve"> </w:t>
      </w:r>
      <w:r>
        <w:t xml:space="preserve">“2% discount if paid within 10 days, net 30.”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line-item-options-x12-only"/>
    <w:p>
      <w:pPr>
        <w:pStyle w:val="Heading2"/>
      </w:pPr>
      <w:r>
        <w:t xml:space="preserve">Line Item Options (X12 only)</w:t>
      </w:r>
    </w:p>
    <w:bookmarkStart w:id="20" w:name="inv810it1uomcode-unit-of-measure"/>
    <w:p>
      <w:pPr>
        <w:pStyle w:val="Heading3"/>
      </w:pPr>
      <w:r>
        <w:t xml:space="preserve">INV810IT1UOMCODE — Unit of Measure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Each</w:t>
            </w:r>
          </w:p>
        </w:tc>
        <w:tc>
          <w:tcPr/>
          <w:p>
            <w:pPr>
              <w:pStyle w:val="Compact"/>
            </w:pPr>
            <w:r>
              <w:t xml:space="preserve">Most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</w:t>
            </w:r>
          </w:p>
        </w:tc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Caterpillar Mossville, Caterpillar Dyersburg</w:t>
            </w:r>
          </w:p>
        </w:tc>
      </w:tr>
    </w:tbl>
    <w:p>
      <w:pPr>
        <w:pStyle w:val="BodyText"/>
      </w:pPr>
      <w:r>
        <w:t xml:space="preserve">The trading partner’s spec determines which to use. Some ERP systems treat EA and PC identically.</w:t>
      </w:r>
      <w:r>
        <w:t xml:space="preserve"> </w:t>
      </w:r>
      <w:r>
        <w:rPr>
          <w:b/>
          <w:bCs/>
        </w:rPr>
        <w:t xml:space="preserve">Default:</w:t>
      </w:r>
      <w:r>
        <w:t xml:space="preserve"> </w:t>
      </w:r>
      <w:r>
        <w:t xml:space="preserve">EA</w:t>
      </w:r>
    </w:p>
    <w:bookmarkEnd w:id="20"/>
    <w:bookmarkStart w:id="21" w:name="inv810it1linenumstl-line-numbering-style"/>
    <w:p>
      <w:pPr>
        <w:pStyle w:val="Heading3"/>
      </w:pPr>
      <w:r>
        <w:t xml:space="preserve">INV810IT1LINENUMSTL — Line Numbering Style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Sequential — lines numbered 1, 2, 3, 4…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Always 1 — every line gets number</w:t>
            </w:r>
            <w:r>
              <w:t xml:space="preserve"> </w:t>
            </w:r>
            <w:r>
              <w:t xml:space="preserve">“1”</w:t>
            </w:r>
          </w:p>
        </w:tc>
      </w:tr>
    </w:tbl>
    <w:p>
      <w:pPr>
        <w:pStyle w:val="BodyText"/>
      </w:pPr>
      <w:r>
        <w:t xml:space="preserve">Most trading partners expect sequential. Use</w:t>
      </w:r>
      <w:r>
        <w:t xml:space="preserve"> </w:t>
      </w:r>
      <w:r>
        <w:t xml:space="preserve">“A”</w:t>
      </w:r>
      <w:r>
        <w:t xml:space="preserve"> </w:t>
      </w:r>
      <w:r>
        <w:t xml:space="preserve">only if the partner’s system ignores line numbers.</w:t>
      </w:r>
      <w:r>
        <w:t xml:space="preserve"> </w:t>
      </w:r>
      <w:r>
        <w:rPr>
          <w:b/>
          <w:bCs/>
        </w:rPr>
        <w:t xml:space="preserve">Default:</w:t>
      </w:r>
      <w:r>
        <w:t xml:space="preserve"> </w:t>
      </w:r>
      <w:r>
        <w:t xml:space="preserve">S</w:t>
      </w:r>
    </w:p>
    <w:bookmarkEnd w:id="21"/>
    <w:bookmarkStart w:id="22" w:name="inv810sendpid-include-part-description"/>
    <w:p>
      <w:pPr>
        <w:pStyle w:val="Heading3"/>
      </w:pPr>
      <w:r>
        <w:t xml:space="preserve">INV810SENDPID — Include Part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Add a PID segment after each line item with the part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 part description in the invoice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Default:</w:t>
      </w:r>
      <w:r>
        <w:t xml:space="preserve"> </w:t>
      </w:r>
      <w:r>
        <w:t xml:space="preserve">N. Enable if the trading partner needs human-readable descriptions on each line.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ricing-surcharges"/>
    <w:p>
      <w:pPr>
        <w:pStyle w:val="Heading2"/>
      </w:pPr>
      <w:r>
        <w:t xml:space="preserve">Pricing &amp; Surcharges</w:t>
      </w:r>
    </w:p>
    <w:bookmarkStart w:id="24" w:name="X1cc2beb09c0c6c0c1ebcf870297a192f36e7695"/>
    <w:p>
      <w:pPr>
        <w:pStyle w:val="Heading3"/>
      </w:pPr>
      <w:r>
        <w:t xml:space="preserve">INV810ADDSURCHARGE — Fold Surcharges into Unit Price</w:t>
      </w:r>
    </w:p>
    <w:p>
      <w:pPr>
        <w:pStyle w:val="FirstParagraph"/>
      </w:pPr>
      <w:r>
        <w:t xml:space="preserve">This is one of the most important settings. It controls whether material surcharge and energy surcharge are visible as separate charges or hidden in the per-piece price.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 Price Shows</w:t>
            </w:r>
          </w:p>
        </w:tc>
        <w:tc>
          <w:tcPr/>
          <w:p>
            <w:pPr>
              <w:pStyle w:val="Compact"/>
            </w:pPr>
            <w:r>
              <w:t xml:space="preserve">Surcharge Appears As</w:t>
            </w:r>
          </w:p>
        </w:tc>
        <w:tc>
          <w:tcPr/>
          <w:p>
            <w:pPr>
              <w:pStyle w:val="Compact"/>
            </w:pPr>
            <w:r>
              <w:t xml:space="preserve">Example (base $10 + $2 surcharge, 100 EA)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Base + Surcharge + Energy combined</w:t>
            </w:r>
          </w:p>
        </w:tc>
        <w:tc>
          <w:tcPr/>
          <w:p>
            <w:pPr>
              <w:pStyle w:val="Compact"/>
            </w:pPr>
            <w:r>
              <w:t xml:space="preserve">Nothing separate — absorbed into price</w:t>
            </w:r>
          </w:p>
        </w:tc>
        <w:tc>
          <w:tcPr/>
          <w:p>
            <w:pPr>
              <w:pStyle w:val="Compact"/>
            </w:pPr>
            <w:r>
              <w:t xml:space="preserve">IT1: 100 EA @ $12.00 = $1,200. No SAC.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Base price only</w:t>
            </w:r>
          </w:p>
        </w:tc>
        <w:tc>
          <w:tcPr/>
          <w:p>
            <w:pPr>
              <w:pStyle w:val="Compact"/>
            </w:pPr>
            <w:r>
              <w:t xml:space="preserve">Separate SAC segment at invoice summary</w:t>
            </w:r>
          </w:p>
        </w:tc>
        <w:tc>
          <w:tcPr/>
          <w:p>
            <w:pPr>
              <w:pStyle w:val="Compact"/>
            </w:pPr>
            <w:r>
              <w:t xml:space="preserve">IT1: 100 EA @ $10.00 = $1,000. SAC H550 = $200. Total = $1,200.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to use Y:</w:t>
      </w:r>
      <w:r>
        <w:t xml:space="preserve"> </w:t>
      </w:r>
      <w:r>
        <w:t xml:space="preserve">Trading partner wants an all-in price and doesn’t need surcharge breakdowns (JD, Sauerdanfoss, Caterpillar Mossville, Baldor).</w:t>
      </w:r>
    </w:p>
    <w:p>
      <w:pPr>
        <w:pStyle w:val="BodyText"/>
      </w:pPr>
      <w:r>
        <w:rPr>
          <w:b/>
          <w:bCs/>
        </w:rPr>
        <w:t xml:space="preserve">When to use N:</w:t>
      </w:r>
      <w:r>
        <w:t xml:space="preserve"> </w:t>
      </w:r>
      <w:r>
        <w:t xml:space="preserve">Trading partner’s system expects surcharges as separate line items or charges (Caterpillar Decatur, GM, Ford, Hyster-Yale, CNH).</w:t>
      </w:r>
    </w:p>
    <w:p>
      <w:pPr>
        <w:pStyle w:val="BodyText"/>
      </w:pPr>
      <w:r>
        <w:rPr>
          <w:b/>
          <w:bCs/>
        </w:rPr>
        <w:t xml:space="preserve">Default:</w:t>
      </w:r>
      <w:r>
        <w:t xml:space="preserve"> </w:t>
      </w:r>
      <w:r>
        <w:t xml:space="preserve">N</w:t>
      </w:r>
    </w:p>
    <w:bookmarkEnd w:id="24"/>
    <w:bookmarkStart w:id="25" w:name="inv810sacsurchcode-surcharge-sac-code"/>
    <w:p>
      <w:pPr>
        <w:pStyle w:val="Heading3"/>
      </w:pPr>
      <w:r>
        <w:t xml:space="preserve">INV810SACSURCHCODE — Surcharge SAC Code</w:t>
      </w:r>
    </w:p>
    <w:p>
      <w:pPr>
        <w:pStyle w:val="FirstParagraph"/>
      </w:pPr>
      <w:r>
        <w:t xml:space="preserve">Only used when ADDSURCHARGE = N. Controls the code in the SAC segment.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H550</w:t>
            </w:r>
          </w:p>
        </w:tc>
        <w:tc>
          <w:tcPr/>
          <w:p>
            <w:pPr>
              <w:pStyle w:val="Compact"/>
            </w:pPr>
            <w:r>
              <w:t xml:space="preserve">Charge type H (Handling), code 550 (Fuel/Energy)</w:t>
            </w:r>
          </w:p>
        </w:tc>
      </w:tr>
    </w:tbl>
    <w:p>
      <w:pPr>
        <w:pStyle w:val="BodyText"/>
      </w:pPr>
      <w:r>
        <w:t xml:space="preserve">Format: First character = H (Handling charge) or R (Allowance). Next 3 = SAC industry code.</w:t>
      </w:r>
    </w:p>
    <w:p>
      <w:pPr>
        <w:pStyle w:val="BodyText"/>
      </w:pPr>
      <w:r>
        <w:t xml:space="preserve">Currently all customers use H550. A different code could be used if a trading partner’s spec requires it (e.g.,</w:t>
      </w:r>
      <w:r>
        <w:t xml:space="preserve"> </w:t>
      </w:r>
      <w:r>
        <w:rPr>
          <w:rStyle w:val="VerbatimChar"/>
        </w:rPr>
        <w:t xml:space="preserve">H750</w:t>
      </w:r>
      <w:r>
        <w:t xml:space="preserve"> </w:t>
      </w:r>
      <w:r>
        <w:t xml:space="preserve">for freight).</w:t>
      </w:r>
      <w:r>
        <w:t xml:space="preserve"> </w:t>
      </w:r>
      <w:r>
        <w:rPr>
          <w:b/>
          <w:bCs/>
        </w:rPr>
        <w:t xml:space="preserve">Default:</w:t>
      </w:r>
      <w:r>
        <w:t xml:space="preserve"> </w:t>
      </w:r>
      <w:r>
        <w:t xml:space="preserve">H550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dunnage-packagingcontainer-charges"/>
    <w:p>
      <w:pPr>
        <w:pStyle w:val="Heading2"/>
      </w:pPr>
      <w:r>
        <w:t xml:space="preserve">Dunnage (Packaging/Container Charges)</w:t>
      </w:r>
    </w:p>
    <w:p>
      <w:pPr>
        <w:pStyle w:val="FirstParagraph"/>
      </w:pPr>
      <w:r>
        <w:t xml:space="preserve">Dunnage refers to charges for returnable containers, skids, pallets, plywood dividers, and other packaging materials. These charges come from the EDIDUNN table.</w:t>
      </w:r>
    </w:p>
    <w:bookmarkStart w:id="27" w:name="X500277b1e20634ae1a786603f714a1d3036c1d6"/>
    <w:p>
      <w:pPr>
        <w:pStyle w:val="Heading3"/>
      </w:pPr>
      <w:r>
        <w:t xml:space="preserve">INV810DUNNSEGTYPE — How Dunnage Appears in the Invoice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Output 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SAC*C*R060*...*[amount]</w:t>
            </w:r>
          </w:p>
        </w:tc>
        <w:tc>
          <w:tcPr/>
          <w:p>
            <w:pPr>
              <w:pStyle w:val="Compact"/>
            </w:pPr>
            <w:r>
              <w:t xml:space="preserve">Summary-level SAC charge segment</w:t>
            </w:r>
          </w:p>
        </w:tc>
        <w:tc>
          <w:tcPr/>
          <w:p>
            <w:pPr>
              <w:pStyle w:val="Compact"/>
            </w:pPr>
            <w:r>
              <w:t xml:space="preserve">CNH, Bobcat, NACCO, Bolzoni, ZF, Volvo, Cummins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ITA*A*S0050*...*[amount]</w:t>
            </w:r>
          </w:p>
        </w:tc>
        <w:tc>
          <w:tcPr/>
          <w:p>
            <w:pPr>
              <w:pStyle w:val="Compact"/>
            </w:pPr>
            <w:r>
              <w:t xml:space="preserve">Allowance/charge detail segment</w:t>
            </w:r>
          </w:p>
        </w:tc>
        <w:tc>
          <w:tcPr/>
          <w:p>
            <w:pPr>
              <w:pStyle w:val="Compact"/>
            </w:pPr>
            <w:r>
              <w:t xml:space="preserve">Caterpillar US locations (Decatur, Mossville,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IT1*[line]*[qty]*EA*[price]**RC*[code]</w:t>
            </w:r>
          </w:p>
        </w:tc>
        <w:tc>
          <w:tcPr/>
          <w:p>
            <w:pPr>
              <w:pStyle w:val="Compact"/>
            </w:pPr>
            <w:r>
              <w:t xml:space="preserve">Additional line items with RC qualifier</w:t>
            </w:r>
          </w:p>
        </w:tc>
        <w:tc>
          <w:tcPr/>
          <w:p>
            <w:pPr>
              <w:pStyle w:val="Compact"/>
            </w:pPr>
            <w:r>
              <w:t xml:space="preserve">Caterpillar Dyersburg (2 customers)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(nothing)</w:t>
            </w:r>
          </w:p>
        </w:tc>
        <w:tc>
          <w:tcPr/>
          <w:p>
            <w:pPr>
              <w:pStyle w:val="Compact"/>
            </w:pPr>
            <w:r>
              <w:t xml:space="preserve">No dunnage charges on the invoice at all</w:t>
            </w:r>
          </w:p>
        </w:tc>
        <w:tc>
          <w:tcPr/>
          <w:p>
            <w:pPr>
              <w:pStyle w:val="Compact"/>
            </w:pPr>
            <w:r>
              <w:t xml:space="preserve">JD, Ford, GM, Discovery, Sauerdanfoss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choose:</w:t>
      </w:r>
      <w:r>
        <w:t xml:space="preserve"> </w:t>
      </w:r>
      <w:r>
        <w:t xml:space="preserve">- Check the trading partner’s 810 implementation guide. It will specify whether they accept SAC, ITA, IT1, or no dunnage.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SAC</w:t>
      </w:r>
      <w:r>
        <w:t xml:space="preserve"> </w:t>
      </w:r>
      <w:r>
        <w:t xml:space="preserve">is the most common for partners that accept dunnage charges.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ITA</w:t>
      </w:r>
      <w:r>
        <w:t xml:space="preserve"> </w:t>
      </w:r>
      <w:r>
        <w:t xml:space="preserve">is Caterpillar-specific (their EDI spec calls for ITA segments).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IT1</w:t>
      </w:r>
      <w:r>
        <w:t xml:space="preserve"> </w:t>
      </w:r>
      <w:r>
        <w:t xml:space="preserve">is rare — only use if the partner wants dunnage as regular line items.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means dunnage is billed separately (outside EDI) or not applicable.</w:t>
      </w:r>
    </w:p>
    <w:p>
      <w:pPr>
        <w:pStyle w:val="BodyText"/>
      </w:pPr>
      <w:r>
        <w:rPr>
          <w:b/>
          <w:bCs/>
        </w:rPr>
        <w:t xml:space="preserve">Default:</w:t>
      </w:r>
      <w:r>
        <w:t xml:space="preserve"> </w:t>
      </w:r>
      <w:r>
        <w:t xml:space="preserve">SAC</w:t>
      </w:r>
    </w:p>
    <w:bookmarkEnd w:id="27"/>
    <w:bookmarkStart w:id="28" w:name="inv810sacdunncode-dunnage-sacita-code"/>
    <w:p>
      <w:pPr>
        <w:pStyle w:val="Heading3"/>
      </w:pPr>
      <w:r>
        <w:t xml:space="preserve">INV810SACDUNNCODE — Dunnage SAC/ITA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R060</w:t>
            </w:r>
          </w:p>
        </w:tc>
        <w:tc>
          <w:tcPr/>
          <w:p>
            <w:pPr>
              <w:pStyle w:val="Compact"/>
            </w:pPr>
            <w:r>
              <w:t xml:space="preserve">Charge type R, code 060 (Container/Packaging)</w:t>
            </w:r>
          </w:p>
        </w:tc>
      </w:tr>
    </w:tbl>
    <w:p>
      <w:pPr>
        <w:pStyle w:val="BodyText"/>
      </w:pPr>
      <w:r>
        <w:t xml:space="preserve">Used when DUNNSEGTYPE = SAC. All customers currently use R060.</w:t>
      </w:r>
      <w:r>
        <w:t xml:space="preserve"> </w:t>
      </w:r>
      <w:r>
        <w:rPr>
          <w:b/>
          <w:bCs/>
        </w:rPr>
        <w:t xml:space="preserve">Default:</w:t>
      </w:r>
      <w:r>
        <w:t xml:space="preserve"> </w:t>
      </w:r>
      <w:r>
        <w:t xml:space="preserve">R060</w:t>
      </w:r>
    </w:p>
    <w:bookmarkEnd w:id="28"/>
    <w:bookmarkStart w:id="29" w:name="inv810itaaxcode-ita-allowancecharge-code"/>
    <w:p>
      <w:pPr>
        <w:pStyle w:val="Heading3"/>
      </w:pPr>
      <w:r>
        <w:t xml:space="preserve">INV810ITAAXCODE — ITA Allowance/Charge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S0050</w:t>
            </w:r>
          </w:p>
        </w:tc>
        <w:tc>
          <w:tcPr/>
          <w:p>
            <w:pPr>
              <w:pStyle w:val="Compact"/>
            </w:pPr>
            <w:r>
              <w:t xml:space="preserve">Special charge, code 0050</w:t>
            </w:r>
          </w:p>
        </w:tc>
      </w:tr>
    </w:tbl>
    <w:p>
      <w:pPr>
        <w:pStyle w:val="BodyText"/>
      </w:pPr>
      <w:r>
        <w:t xml:space="preserve">Used when DUNNSEGTYPE = ITA (Caterpillar style).</w:t>
      </w:r>
      <w:r>
        <w:t xml:space="preserve"> </w:t>
      </w:r>
      <w:r>
        <w:rPr>
          <w:b/>
          <w:bCs/>
        </w:rPr>
        <w:t xml:space="preserve">Default:</w:t>
      </w:r>
      <w:r>
        <w:t xml:space="preserve"> </w:t>
      </w:r>
      <w:r>
        <w:t xml:space="preserve">S0050</w:t>
      </w:r>
    </w:p>
    <w:bookmarkEnd w:id="29"/>
    <w:bookmarkStart w:id="30" w:name="X08295722f8f5b52c61f1fc5aaf574a722e10ec9"/>
    <w:p>
      <w:pPr>
        <w:pStyle w:val="Heading3"/>
      </w:pPr>
      <w:r>
        <w:t xml:space="preserve">INV810DUNNSACLINLVL — Dunnage at Line Level vs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Dunnage SAC/ITA segments appear once at the invoice summary level (after all line items)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Dunnage segments appear after each individual line item</w:t>
            </w:r>
          </w:p>
        </w:tc>
      </w:tr>
    </w:tbl>
    <w:p>
      <w:pPr>
        <w:pStyle w:val="BodyText"/>
      </w:pPr>
      <w:r>
        <w:t xml:space="preserve">Most partners expect summary-level. Use Y only if the partner’s spec requires line-level dunnage allocation.</w:t>
      </w:r>
      <w:r>
        <w:t xml:space="preserve"> </w:t>
      </w:r>
      <w:r>
        <w:rPr>
          <w:b/>
          <w:bCs/>
        </w:rPr>
        <w:t xml:space="preserve">Default:</w:t>
      </w:r>
      <w:r>
        <w:t xml:space="preserve"> </w:t>
      </w:r>
      <w:r>
        <w:t xml:space="preserve">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address-parties-n1-loops"/>
    <w:p>
      <w:pPr>
        <w:pStyle w:val="Heading2"/>
      </w:pPr>
      <w:r>
        <w:t xml:space="preserve">Address Parties (N1 Loops)</w:t>
      </w:r>
    </w:p>
    <w:bookmarkStart w:id="32" w:name="Xa6e087067212c7cfb0c4365d34d631f904842fa"/>
    <w:p>
      <w:pPr>
        <w:pStyle w:val="Heading3"/>
      </w:pPr>
      <w:r>
        <w:t xml:space="preserve">INV810N1PARTIES — Which Address Blocks to Include</w:t>
      </w:r>
    </w:p>
    <w:p>
      <w:pPr>
        <w:pStyle w:val="FirstParagraph"/>
      </w:pPr>
      <w:r>
        <w:t xml:space="preserve">Pipe-delimited list of party codes. Each code generates an N1/N3/N4 segment group with name and address.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Party</w:t>
            </w:r>
          </w:p>
        </w:tc>
        <w:tc>
          <w:tcPr/>
          <w:p>
            <w:pPr>
              <w:pStyle w:val="Compact"/>
            </w:pPr>
            <w:r>
              <w:t xml:space="preserve">Address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Ship-To</w:t>
            </w:r>
          </w:p>
        </w:tc>
        <w:tc>
          <w:tcPr/>
          <w:p>
            <w:pPr>
              <w:pStyle w:val="Compact"/>
            </w:pPr>
            <w:r>
              <w:t xml:space="preserve">Customer address (CUSTADRS record type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Corporate headquarters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</w:t>
            </w:r>
          </w:p>
        </w:tc>
        <w:tc>
          <w:tcPr/>
          <w:p>
            <w:pPr>
              <w:pStyle w:val="Compact"/>
            </w:pPr>
            <w:r>
              <w:t xml:space="preserve">Ship-From</w:t>
            </w:r>
          </w:p>
        </w:tc>
        <w:tc>
          <w:tcPr/>
          <w:p>
            <w:pPr>
              <w:pStyle w:val="Compact"/>
            </w:pPr>
            <w:r>
              <w:t xml:space="preserve">Plant address (PLANTDSC)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</w:t>
            </w:r>
          </w:p>
        </w:tc>
        <w:tc>
          <w:tcPr/>
          <w:p>
            <w:pPr>
              <w:pStyle w:val="Compact"/>
            </w:pPr>
            <w:r>
              <w:t xml:space="preserve">Bill-To</w:t>
            </w:r>
          </w:p>
        </w:tc>
        <w:tc>
          <w:tcPr/>
          <w:p>
            <w:pPr>
              <w:pStyle w:val="Compact"/>
            </w:pPr>
            <w:r>
              <w:t xml:space="preserve">Customer billing address (CUSTADRS record type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Same as BT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Common Configurations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ST\|SE</w:t>
            </w:r>
          </w:p>
        </w:tc>
        <w:tc>
          <w:tcPr/>
          <w:p>
            <w:pPr>
              <w:pStyle w:val="Compact"/>
            </w:pPr>
            <w:r>
              <w:t xml:space="preserve">Ship-to + Seller (most customers)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ST\|SE\|SF</w:t>
            </w:r>
          </w:p>
        </w:tc>
        <w:tc>
          <w:tcPr/>
          <w:p>
            <w:pPr>
              <w:pStyle w:val="Compact"/>
            </w:pPr>
            <w:r>
              <w:t xml:space="preserve">Ship-to + Seller + Ship-from (Caterpillar Dyersburg)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Default:</w:t>
      </w:r>
      <w:r>
        <w:t xml:space="preserve"> </w:t>
      </w:r>
      <w:r>
        <w:rPr>
          <w:rStyle w:val="VerbatimChar"/>
        </w:rPr>
        <w:t xml:space="preserve">ST|SE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eference-numbers-ref-segments"/>
    <w:p>
      <w:pPr>
        <w:pStyle w:val="Heading2"/>
      </w:pPr>
      <w:r>
        <w:t xml:space="preserve">Reference Numbers (REF Segments)</w:t>
      </w:r>
    </w:p>
    <w:p>
      <w:pPr>
        <w:pStyle w:val="FirstParagraph"/>
      </w:pPr>
      <w:r>
        <w:t xml:space="preserve">REF segments carry reference numbers that help the trading partner match the invoice to other documents.</w:t>
      </w:r>
    </w:p>
    <w:bookmarkStart w:id="34" w:name="Xe166e01b97ada1ed7b7e904129cca6e50d7ef8a"/>
    <w:p>
      <w:pPr>
        <w:pStyle w:val="Heading3"/>
      </w:pPr>
      <w:r>
        <w:t xml:space="preserve">INV810REFHDRQUALS — Header-Level References</w:t>
      </w:r>
    </w:p>
    <w:p>
      <w:pPr>
        <w:pStyle w:val="FirstParagraph"/>
      </w:pPr>
      <w:r>
        <w:t xml:space="preserve">Pipe-delimited list of REF qualifier codes placed in the invoice header (before line items).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Value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Packing Slip Number</w:t>
            </w:r>
          </w:p>
        </w:tc>
        <w:tc>
          <w:tcPr/>
          <w:p>
            <w:pPr>
              <w:pStyle w:val="Compact"/>
            </w:pPr>
            <w:r>
              <w:t xml:space="preserve">EDIINVOIC810 packing slip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VN</w:t>
            </w:r>
          </w:p>
        </w:tc>
        <w:tc>
          <w:tcPr/>
          <w:p>
            <w:pPr>
              <w:pStyle w:val="Compact"/>
            </w:pPr>
            <w:r>
              <w:t xml:space="preserve">Vendor Number</w:t>
            </w:r>
          </w:p>
        </w:tc>
        <w:tc>
          <w:tcPr/>
          <w:p>
            <w:pPr>
              <w:pStyle w:val="Compact"/>
            </w:pPr>
            <w:r>
              <w:t xml:space="preserve">Could be added if partner needs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Default:</w:t>
      </w:r>
      <w:r>
        <w:t xml:space="preserve"> </w:t>
      </w:r>
      <w:r>
        <w:rPr>
          <w:rStyle w:val="VerbatimChar"/>
        </w:rPr>
        <w:t xml:space="preserve">PK</w:t>
      </w:r>
    </w:p>
    <w:bookmarkEnd w:id="34"/>
    <w:bookmarkStart w:id="35" w:name="X1ae1e207bd2d0ccba7baf9f0099e96acafa56e1"/>
    <w:p>
      <w:pPr>
        <w:pStyle w:val="Heading3"/>
      </w:pPr>
      <w:r>
        <w:t xml:space="preserve">INV810REFDETQUALS — Detail-Level References</w:t>
      </w:r>
    </w:p>
    <w:p>
      <w:pPr>
        <w:pStyle w:val="FirstParagraph"/>
      </w:pPr>
      <w:r>
        <w:t xml:space="preserve">Same format, but placed after each IT1 line item. Currently unused by all customers.</w:t>
      </w:r>
    </w:p>
    <w:bookmarkEnd w:id="35"/>
    <w:bookmarkStart w:id="36" w:name="X1d4c6763f4b2e94c6006c138a6f910cb3901018"/>
    <w:p>
      <w:pPr>
        <w:pStyle w:val="Heading3"/>
      </w:pPr>
      <w:r>
        <w:t xml:space="preserve">INV810REFSUMQUALS — Summary-Level References</w:t>
      </w:r>
    </w:p>
    <w:p>
      <w:pPr>
        <w:pStyle w:val="FirstParagraph"/>
      </w:pPr>
      <w:r>
        <w:t xml:space="preserve">Same format, placed in the summary section (after all IT1s, before TDS). Only Caterpillar Dyersburg uses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here.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nvelope-overrides-isaunb"/>
    <w:p>
      <w:pPr>
        <w:pStyle w:val="Heading2"/>
      </w:pPr>
      <w:r>
        <w:t xml:space="preserve">Envelope Overrides (ISA/UNB)</w:t>
      </w:r>
    </w:p>
    <w:p>
      <w:pPr>
        <w:pStyle w:val="FirstParagraph"/>
      </w:pPr>
      <w:r>
        <w:t xml:space="preserve">These override the default sender/recipient identifiers from the EDICUSTOMERVALUES table. Use when a specific ship-to customer needs different envelope addresses than the trading partner default.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INV810SENDERQUAL</w:t>
            </w:r>
          </w:p>
        </w:tc>
        <w:tc>
          <w:tcPr/>
          <w:p>
            <w:pPr>
              <w:pStyle w:val="Compact"/>
            </w:pPr>
            <w:r>
              <w:t xml:space="preserve">ISA05 / UNB</w:t>
            </w:r>
          </w:p>
        </w:tc>
        <w:tc>
          <w:tcPr/>
          <w:p>
            <w:pPr>
              <w:pStyle w:val="Compact"/>
            </w:pPr>
            <w:r>
              <w:t xml:space="preserve">Sender qualifier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ZZ</w:t>
            </w:r>
            <w:r>
              <w:t xml:space="preserve"> </w:t>
            </w:r>
            <w:r>
              <w:t xml:space="preserve">(mutually defined),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(DUNS)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INV810SENDERID</w:t>
            </w:r>
          </w:p>
        </w:tc>
        <w:tc>
          <w:tcPr/>
          <w:p>
            <w:pPr>
              <w:pStyle w:val="Compact"/>
            </w:pPr>
            <w:r>
              <w:t xml:space="preserve">ISA06 / UNB</w:t>
            </w:r>
          </w:p>
        </w:tc>
        <w:tc>
          <w:tcPr/>
          <w:p>
            <w:pPr>
              <w:pStyle w:val="Compact"/>
            </w:pPr>
            <w:r>
              <w:t xml:space="preserve">Sender identification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006133441</w:t>
            </w:r>
            <w:r>
              <w:t xml:space="preserve"> </w:t>
            </w:r>
            <w:r>
              <w:t xml:space="preserve">(Waupaca DUNS)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INV810RECIPQUAL</w:t>
            </w:r>
          </w:p>
        </w:tc>
        <w:tc>
          <w:tcPr/>
          <w:p>
            <w:pPr>
              <w:pStyle w:val="Compact"/>
            </w:pPr>
            <w:r>
              <w:t xml:space="preserve">ISA07 / UNB</w:t>
            </w:r>
          </w:p>
        </w:tc>
        <w:tc>
          <w:tcPr/>
          <w:p>
            <w:pPr>
              <w:pStyle w:val="Compact"/>
            </w:pPr>
            <w:r>
              <w:t xml:space="preserve">Receiver qualifier</w:t>
            </w:r>
          </w:p>
        </w:tc>
        <w:tc>
          <w:tcPr/>
          <w:p>
            <w:pPr>
              <w:pStyle w:val="Compact"/>
            </w:pPr>
            <w:r>
              <w:t xml:space="preserve">Same codes as sender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INV810RECIPID</w:t>
            </w:r>
          </w:p>
        </w:tc>
        <w:tc>
          <w:tcPr/>
          <w:p>
            <w:pPr>
              <w:pStyle w:val="Compact"/>
            </w:pPr>
            <w:r>
              <w:t xml:space="preserve">ISA08 / UNB</w:t>
            </w:r>
          </w:p>
        </w:tc>
        <w:tc>
          <w:tcPr/>
          <w:p>
            <w:pPr>
              <w:pStyle w:val="Compact"/>
            </w:pPr>
            <w:r>
              <w:t xml:space="preserve">Receiver identification</w:t>
            </w:r>
          </w:p>
        </w:tc>
        <w:tc>
          <w:tcPr/>
          <w:p>
            <w:pPr>
              <w:pStyle w:val="Compact"/>
            </w:pPr>
            <w:r>
              <w:t xml:space="preserve">Trading partner’s ID</w:t>
            </w:r>
          </w:p>
        </w:tc>
      </w:tr>
    </w:tbl>
    <w:p>
      <w:pPr>
        <w:pStyle w:val="BodyText"/>
      </w:pPr>
      <w:r>
        <w:t xml:space="preserve">If left blank, the values from EDICUSTOMERVALUES (the parent trading partner record) are used.</w:t>
      </w:r>
    </w:p>
    <w:p>
      <w:r>
        <w:pict>
          <v:rect style="width:0;height:1.5pt" o:hralign="center" o:hrstd="t" o:hr="t"/>
        </w:pict>
      </w:r>
    </w:p>
    <w:bookmarkEnd w:id="38"/>
    <w:bookmarkStart w:id="39" w:name="edifact-specific-options"/>
    <w:p>
      <w:pPr>
        <w:pStyle w:val="Heading2"/>
      </w:pPr>
      <w:r>
        <w:t xml:space="preserve">EDIFACT-Specific Options</w:t>
      </w:r>
    </w:p>
    <w:p>
      <w:pPr>
        <w:pStyle w:val="FirstParagraph"/>
      </w:pPr>
      <w:r>
        <w:t xml:space="preserve">These apply only when SEND810TYPE = EDIFACT.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UNH Element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EDIFACTMSGVERSION</w:t>
            </w:r>
          </w:p>
        </w:tc>
        <w:tc>
          <w:tcPr/>
          <w:p>
            <w:pPr>
              <w:pStyle w:val="Compact"/>
            </w:pPr>
            <w:r>
              <w:t xml:space="preserve">S009/0052</w:t>
            </w:r>
          </w:p>
        </w:tc>
        <w:tc>
          <w:tcPr/>
          <w:p>
            <w:pPr>
              <w:pStyle w:val="Compact"/>
            </w:pPr>
            <w:r>
              <w:t xml:space="preserve">Message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(Draft)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EDIFACTMSGRELEASE</w:t>
            </w:r>
          </w:p>
        </w:tc>
        <w:tc>
          <w:tcPr/>
          <w:p>
            <w:pPr>
              <w:pStyle w:val="Compact"/>
            </w:pPr>
            <w:r>
              <w:t xml:space="preserve">S009/0054</w:t>
            </w:r>
          </w:p>
        </w:tc>
        <w:tc>
          <w:tcPr/>
          <w:p>
            <w:pPr>
              <w:pStyle w:val="Compact"/>
            </w:pPr>
            <w:r>
              <w:t xml:space="preserve">Message 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97B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07A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EDIFACTCTLAGENCY</w:t>
            </w:r>
          </w:p>
        </w:tc>
        <w:tc>
          <w:tcPr/>
          <w:p>
            <w:pPr>
              <w:pStyle w:val="Compact"/>
            </w:pPr>
            <w:r>
              <w:t xml:space="preserve">S009/0051</w:t>
            </w:r>
          </w:p>
        </w:tc>
        <w:tc>
          <w:tcPr/>
          <w:p>
            <w:pPr>
              <w:pStyle w:val="Compact"/>
            </w:pPr>
            <w:r>
              <w:t xml:space="preserve">Controlling agency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</w:t>
            </w:r>
            <w:r>
              <w:t xml:space="preserve"> </w:t>
            </w:r>
            <w:r>
              <w:t xml:space="preserve">(United Nations)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EDIFACTASSOCCODE</w:t>
            </w:r>
          </w:p>
        </w:tc>
        <w:tc>
          <w:tcPr/>
          <w:p>
            <w:pPr>
              <w:pStyle w:val="Compact"/>
            </w:pPr>
            <w:r>
              <w:t xml:space="preserve">S009/0057</w:t>
            </w:r>
          </w:p>
        </w:tc>
        <w:tc>
          <w:tcPr/>
          <w:p>
            <w:pPr>
              <w:pStyle w:val="Compact"/>
            </w:pPr>
            <w:r>
              <w:t xml:space="preserve">Association assigned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GAVA11</w:t>
            </w:r>
            <w:r>
              <w:t xml:space="preserve"> </w:t>
            </w:r>
            <w:r>
              <w:t xml:space="preserve">(German Auto VDA),</w:t>
            </w:r>
            <w:r>
              <w:t xml:space="preserve"> </w:t>
            </w:r>
            <w:r>
              <w:rPr>
                <w:rStyle w:val="VerbatimChar"/>
              </w:rPr>
              <w:t xml:space="preserve">GMI012</w:t>
            </w:r>
            <w:r>
              <w:t xml:space="preserve"> </w:t>
            </w:r>
            <w:r>
              <w:t xml:space="preserve">(GM)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INVOICE program currently overrides these based on customer type (ZF gets D/07A/UN/GAVA11, Volvo gets D/03A/UN, Standard Cummins gets D/97B/UN). The EDITPCX values are loaded first but then overwritten. A future improvement could remove the hardcoded overrides and use only the config table values.</w:t>
      </w:r>
    </w:p>
    <w:p>
      <w:r>
        <w:pict>
          <v:rect style="width:0;height:1.5pt" o:hralign="center" o:hrstd="t" o:hr="t"/>
        </w:pict>
      </w:r>
    </w:p>
    <w:bookmarkEnd w:id="39"/>
    <w:bookmarkStart w:id="40" w:name="current-customer-profiles-summary"/>
    <w:p>
      <w:pPr>
        <w:pStyle w:val="Heading2"/>
      </w:pPr>
      <w:r>
        <w:t xml:space="preserve">Current Customer Profiles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Trading Partner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Trans Type</w:t>
            </w:r>
          </w:p>
        </w:tc>
        <w:tc>
          <w:tcPr/>
          <w:p>
            <w:pPr>
              <w:pStyle w:val="Compact"/>
            </w:pPr>
            <w:r>
              <w:t xml:space="preserve">Surcharge</w:t>
            </w:r>
          </w:p>
        </w:tc>
        <w:tc>
          <w:tcPr/>
          <w:p>
            <w:pPr>
              <w:pStyle w:val="Compact"/>
            </w:pPr>
            <w:r>
              <w:t xml:space="preserve">Dunnage</w:t>
            </w:r>
          </w:p>
        </w:tc>
        <w:tc>
          <w:tcPr/>
          <w:p>
            <w:pPr>
              <w:pStyle w:val="Compact"/>
            </w:pPr>
            <w:r>
              <w:t xml:space="preserve">Notable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J.D. Engine (SAP)</w:t>
            </w:r>
          </w:p>
        </w:tc>
        <w:tc>
          <w:tcPr/>
          <w:p>
            <w:pPr>
              <w:pStyle w:val="Compact"/>
            </w:pPr>
            <w:r>
              <w:t xml:space="preserve">X12</w:t>
            </w:r>
          </w:p>
        </w:tc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Folded in (Y)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Largest group (~9,800 ship-tos)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Caterpillar (Decatur etc.)</w:t>
            </w:r>
          </w:p>
        </w:tc>
        <w:tc>
          <w:tcPr/>
          <w:p>
            <w:pPr>
              <w:pStyle w:val="Compact"/>
            </w:pPr>
            <w:r>
              <w:t xml:space="preserve">X12</w:t>
            </w:r>
          </w:p>
        </w:tc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Separate (N)</w:t>
            </w:r>
          </w:p>
        </w:tc>
        <w:tc>
          <w:tcPr/>
          <w:p>
            <w:pPr>
              <w:pStyle w:val="Compact"/>
            </w:pPr>
            <w:r>
              <w:t xml:space="preserve">ITA</w:t>
            </w:r>
          </w:p>
        </w:tc>
        <w:tc>
          <w:tcPr/>
          <w:p>
            <w:pPr>
              <w:pStyle w:val="Compact"/>
            </w:pPr>
            <w:r>
              <w:t xml:space="preserve">SE currency, ITA dunnage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Caterpillar (Mossville)</w:t>
            </w:r>
          </w:p>
        </w:tc>
        <w:tc>
          <w:tcPr/>
          <w:p>
            <w:pPr>
              <w:pStyle w:val="Compact"/>
            </w:pPr>
            <w:r>
              <w:t xml:space="preserve">X12</w:t>
            </w:r>
          </w:p>
        </w:tc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Folded in (Y)</w:t>
            </w:r>
          </w:p>
        </w:tc>
        <w:tc>
          <w:tcPr/>
          <w:p>
            <w:pPr>
              <w:pStyle w:val="Compact"/>
            </w:pPr>
            <w:r>
              <w:t xml:space="preserve">ITA</w:t>
            </w:r>
          </w:p>
        </w:tc>
        <w:tc>
          <w:tcPr/>
          <w:p>
            <w:pPr>
              <w:pStyle w:val="Compact"/>
            </w:pPr>
            <w:r>
              <w:t xml:space="preserve">PC unit of measure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Caterpillar (Dyersburg)</w:t>
            </w:r>
          </w:p>
        </w:tc>
        <w:tc>
          <w:tcPr/>
          <w:p>
            <w:pPr>
              <w:pStyle w:val="Compact"/>
            </w:pPr>
            <w:r>
              <w:t xml:space="preserve">X12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Folded in (Y)</w:t>
            </w:r>
          </w:p>
        </w:tc>
        <w:tc>
          <w:tcPr/>
          <w:p>
            <w:pPr>
              <w:pStyle w:val="Compact"/>
            </w:pPr>
            <w:r>
              <w:t xml:space="preserve">IT1</w:t>
            </w:r>
          </w:p>
        </w:tc>
        <w:tc>
          <w:tcPr/>
          <w:p>
            <w:pPr>
              <w:pStyle w:val="Compact"/>
            </w:pPr>
            <w:r>
              <w:t xml:space="preserve">Dunnage as line items, SF party, summary REF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Caterpillar (MACH1 SAP)</w:t>
            </w:r>
          </w:p>
        </w:tc>
        <w:tc>
          <w:tcPr/>
          <w:p>
            <w:pPr>
              <w:pStyle w:val="Compact"/>
            </w:pPr>
            <w:r>
              <w:t xml:space="preserve">X12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Separate (N)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Credit/adjustment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Cummins</w:t>
            </w:r>
          </w:p>
        </w:tc>
        <w:tc>
          <w:tcPr/>
          <w:p>
            <w:pPr>
              <w:pStyle w:val="Compact"/>
            </w:pPr>
            <w:r>
              <w:t xml:space="preserve">EDIFACT</w:t>
            </w:r>
          </w:p>
        </w:tc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Separate (N)</w:t>
            </w:r>
          </w:p>
        </w:tc>
        <w:tc>
          <w:tcPr/>
          <w:p>
            <w:pPr>
              <w:pStyle w:val="Compact"/>
            </w:pPr>
            <w:r>
              <w:t xml:space="preserve">SAC</w:t>
            </w:r>
          </w:p>
        </w:tc>
        <w:tc>
          <w:tcPr/>
          <w:p>
            <w:pPr>
              <w:pStyle w:val="Compact"/>
            </w:pPr>
            <w:r>
              <w:t xml:space="preserve">D:97B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ZF (all plants)</w:t>
            </w:r>
          </w:p>
        </w:tc>
        <w:tc>
          <w:tcPr/>
          <w:p>
            <w:pPr>
              <w:pStyle w:val="Compact"/>
            </w:pPr>
            <w:r>
              <w:t xml:space="preserve">EDIFACT</w:t>
            </w:r>
          </w:p>
        </w:tc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Separate (N)</w:t>
            </w:r>
          </w:p>
        </w:tc>
        <w:tc>
          <w:tcPr/>
          <w:p>
            <w:pPr>
              <w:pStyle w:val="Compact"/>
            </w:pPr>
            <w:r>
              <w:t xml:space="preserve">SAC</w:t>
            </w:r>
          </w:p>
        </w:tc>
        <w:tc>
          <w:tcPr/>
          <w:p>
            <w:pPr>
              <w:pStyle w:val="Compact"/>
            </w:pPr>
            <w:r>
              <w:t xml:space="preserve">D:07A + GAVA11 association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Volvo/Mack</w:t>
            </w:r>
          </w:p>
        </w:tc>
        <w:tc>
          <w:tcPr/>
          <w:p>
            <w:pPr>
              <w:pStyle w:val="Compact"/>
            </w:pPr>
            <w:r>
              <w:t xml:space="preserve">EDIFACT</w:t>
            </w:r>
          </w:p>
        </w:tc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Separate (N)</w:t>
            </w:r>
          </w:p>
        </w:tc>
        <w:tc>
          <w:tcPr/>
          <w:p>
            <w:pPr>
              <w:pStyle w:val="Compact"/>
            </w:pPr>
            <w:r>
              <w:t xml:space="preserve">SAC</w:t>
            </w:r>
          </w:p>
        </w:tc>
        <w:tc>
          <w:tcPr/>
          <w:p>
            <w:pPr>
              <w:pStyle w:val="Compact"/>
            </w:pPr>
            <w:r>
              <w:t xml:space="preserve">D:03A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Baldor Electric</w:t>
            </w:r>
          </w:p>
        </w:tc>
        <w:tc>
          <w:tcPr/>
          <w:p>
            <w:pPr>
              <w:pStyle w:val="Compact"/>
            </w:pPr>
            <w:r>
              <w:t xml:space="preserve">X12</w:t>
            </w:r>
          </w:p>
        </w:tc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Folded in (Y)</w:t>
            </w:r>
          </w:p>
        </w:tc>
        <w:tc>
          <w:tcPr/>
          <w:p>
            <w:pPr>
              <w:pStyle w:val="Compact"/>
            </w:pPr>
            <w:r>
              <w:t xml:space="preserve">SAC</w:t>
            </w:r>
          </w:p>
        </w:tc>
        <w:tc>
          <w:tcPr/>
          <w:p>
            <w:pPr>
              <w:pStyle w:val="Compact"/>
            </w:pPr>
            <w:r>
              <w:t xml:space="preserve">Debit reissue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Hyster-Yale</w:t>
            </w:r>
          </w:p>
        </w:tc>
        <w:tc>
          <w:tcPr/>
          <w:p>
            <w:pPr>
              <w:pStyle w:val="Compact"/>
            </w:pPr>
            <w:r>
              <w:t xml:space="preserve">X12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Separate (N)</w:t>
            </w:r>
          </w:p>
        </w:tc>
        <w:tc>
          <w:tcPr/>
          <w:p>
            <w:pPr>
              <w:pStyle w:val="Compact"/>
            </w:pPr>
            <w:r>
              <w:t xml:space="preserve">SAC</w:t>
            </w:r>
          </w:p>
        </w:tc>
        <w:tc>
          <w:tcPr/>
          <w:p>
            <w:pPr>
              <w:pStyle w:val="Compact"/>
            </w:pPr>
            <w:r>
              <w:t xml:space="preserve">Consolidated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Ford</w:t>
            </w:r>
          </w:p>
        </w:tc>
        <w:tc>
          <w:tcPr/>
          <w:p>
            <w:pPr>
              <w:pStyle w:val="Compact"/>
            </w:pPr>
            <w:r>
              <w:t xml:space="preserve">X12</w:t>
            </w:r>
          </w:p>
        </w:tc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Separate (N)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dunnage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Motors</w:t>
            </w:r>
          </w:p>
        </w:tc>
        <w:tc>
          <w:tcPr/>
          <w:p>
            <w:pPr>
              <w:pStyle w:val="Compact"/>
            </w:pPr>
            <w:r>
              <w:t xml:space="preserve">X12</w:t>
            </w:r>
          </w:p>
        </w:tc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Separate (N)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dunnage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 Energy</w:t>
            </w:r>
          </w:p>
        </w:tc>
        <w:tc>
          <w:tcPr/>
          <w:p>
            <w:pPr>
              <w:pStyle w:val="Compact"/>
            </w:pPr>
            <w:r>
              <w:t xml:space="preserve">X12</w:t>
            </w:r>
          </w:p>
        </w:tc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Separate (N)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ZZ currency party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Sauerdanfoss</w:t>
            </w:r>
          </w:p>
        </w:tc>
        <w:tc>
          <w:tcPr/>
          <w:p>
            <w:pPr>
              <w:pStyle w:val="Compact"/>
            </w:pPr>
            <w:r>
              <w:t xml:space="preserve">X12</w:t>
            </w:r>
          </w:p>
        </w:tc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Folded in (Y)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SU currency party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World Class Industries</w:t>
            </w:r>
          </w:p>
        </w:tc>
        <w:tc>
          <w:tcPr/>
          <w:p>
            <w:pPr>
              <w:pStyle w:val="Compact"/>
            </w:pPr>
            <w:r>
              <w:t xml:space="preserve">X12</w:t>
            </w:r>
          </w:p>
        </w:tc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Folded in (Y)</w:t>
            </w:r>
          </w:p>
        </w:tc>
        <w:tc>
          <w:tcPr/>
          <w:p>
            <w:pPr>
              <w:pStyle w:val="Compact"/>
            </w:pPr>
            <w:r>
              <w:t xml:space="preserve">SAC</w:t>
            </w:r>
          </w:p>
        </w:tc>
        <w:tc>
          <w:tcPr/>
          <w:p>
            <w:pPr>
              <w:pStyle w:val="Compact"/>
            </w:pPr>
            <w:r>
              <w:t xml:space="preserve">Recently enabled (was NONE)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setting-up-a-new-customer"/>
    <w:p>
      <w:pPr>
        <w:pStyle w:val="Heading2"/>
      </w:pPr>
      <w:r>
        <w:t xml:space="preserve">Setting Up a New Customer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 the trading partner’s 810/INVOIC implementation guide</w:t>
      </w:r>
      <w:r>
        <w:t xml:space="preserve"> </w:t>
      </w:r>
      <w:r>
        <w:t xml:space="preserve">— this document specifies every option.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SEND810INVOICE = 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SEND810TYPE</w:t>
      </w:r>
      <w:r>
        <w:t xml:space="preserve"> </w:t>
      </w:r>
      <w:r>
        <w:t xml:space="preserve">to X12 or EDIFACT.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Choose INV810TRANSTYPE</w:t>
      </w:r>
      <w:r>
        <w:t xml:space="preserve"> </w:t>
      </w:r>
      <w:r>
        <w:t xml:space="preserve">— almost always DI unless the partner spec says otherwise.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INV810CURPARTYCODE</w:t>
      </w:r>
      <w:r>
        <w:t xml:space="preserve"> </w:t>
      </w:r>
      <w:r>
        <w:t xml:space="preserve">— look for</w:t>
      </w:r>
      <w:r>
        <w:t xml:space="preserve"> </w:t>
      </w:r>
      <w:r>
        <w:t xml:space="preserve">“CUR segment”</w:t>
      </w:r>
      <w:r>
        <w:t xml:space="preserve"> </w:t>
      </w:r>
      <w:r>
        <w:t xml:space="preserve">in their spec.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INV810ADDSURCHARGE</w:t>
      </w:r>
      <w:r>
        <w:t xml:space="preserve"> </w:t>
      </w:r>
      <w:r>
        <w:t xml:space="preserve">— does their spec show surcharges in the unit price or as separate SAC segments?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INV810DUNNSEGTYPE</w:t>
      </w:r>
      <w:r>
        <w:t xml:space="preserve"> </w:t>
      </w:r>
      <w:r>
        <w:t xml:space="preserve">— does their spec accept SAC, ITA, IT1, or no dunnage?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INV810N1PARTIES</w:t>
      </w:r>
      <w:r>
        <w:t xml:space="preserve"> </w:t>
      </w:r>
      <w:r>
        <w:t xml:space="preserve">— which address loops does their spec require?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payment terms</w:t>
      </w:r>
      <w:r>
        <w:t xml:space="preserve"> </w:t>
      </w:r>
      <w:r>
        <w:t xml:space="preserve">(ITDTYPECODE, ITDNETDAYS) per your contract.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envelope IDs</w:t>
      </w:r>
      <w:r>
        <w:t xml:space="preserve"> </w:t>
      </w:r>
      <w:r>
        <w:t xml:space="preserve">(SENDERQUAL/ID, RECIPQUAL/ID) if this ship-to needs different values than the trading partner default.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with INVSCAN</w:t>
      </w:r>
      <w:r>
        <w:t xml:space="preserve"> </w:t>
      </w:r>
      <w:r>
        <w:t xml:space="preserve">— run for a date with this customer’s shipments and verify the output.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2026-03-25T12:38:54Z</dcterms:created>
  <dcterms:modified xsi:type="dcterms:W3CDTF">2026-03-25T12:38:54Z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