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40"/>
          <w:szCs w:val="40"/>
        </w:rPr>
        <w:t xml:space="preserve">Executive Summary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Factory-to-Customer Shipping Route Efficiency — Nassau Candy Distributor</w:t>
      </w:r>
    </w:p>
    <w:p>
      <w:pPr>
        <w:pStyle w:val="Heading1"/>
        <w:spacing w:after="120" w:before="260"/>
      </w:pPr>
      <w:r>
        <w:t xml:space="preserve">Purpose</w:t>
      </w:r>
    </w:p>
    <w:p>
      <w:pPr>
        <w:spacing w:after="140"/>
      </w:pPr>
      <w:r>
        <w:t xml:space="preserve">This analysis was commissioned to give Nassau Candy Distributor visibility into which factory-to-customer shipping routes are efficient, which are not, and where operational bottlenecks exist — replacing reactive logistics decisions with data-driven ones.</w:t>
      </w:r>
    </w:p>
    <w:p>
      <w:pPr>
        <w:pStyle w:val="Heading1"/>
        <w:spacing w:after="120" w:before="260"/>
      </w:pPr>
      <w:r>
        <w:t xml:space="preserve">What We Found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Across 10,194 shipments and 196 active routes, shipping performance is broadly consistent — the difference between the fastest and slowest route is small (~5 days).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single biggest driver of delay is Ship Mode, not route: Standard Class shipments (60% of all volume) show a 22.5% delay rate, versus under 1% for all faster ship modes.</w:t>
      </w:r>
    </w:p>
    <w:p>
      <w:pPr>
        <w:pStyle w:val="ListParagraph"/>
        <w:numPr>
          <w:ilvl w:val="0"/>
          <w:numId w:val="1"/>
        </w:numPr>
        <w:spacing w:after="70"/>
      </w:pPr>
      <w:r>
        <w:t>Tennessee is the network's one bottleneck by a defined test (top 25% for both shipment volume and lead time): 183 shipments at a 178.0-day average lead time versus a 177.6-day network average, and a 16.9% delay rate. The gap is modest in absolute terms — this is a monitoring priority, not a severe outlier.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significant data quality issue was identified and corrected in the source Ship Date field during this analysis (see Technical Notes); this should be flagged to the systems team.</w:t>
      </w:r>
    </w:p>
    <w:p>
      <w:pPr>
        <w:pStyle w:val="Heading1"/>
        <w:spacing w:after="120" w:before="260"/>
      </w:pPr>
      <w:r>
        <w:t xml:space="preserve">Recommendation</w:t>
      </w:r>
    </w:p>
    <w:p>
      <w:pPr>
        <w:spacing w:after="140"/>
      </w:pPr>
      <w:r>
        <w:t xml:space="preserve">Prioritize fixing Standard Class handling first — it represents the majority of shipment volume and nearly all network-wide delay. This is likely to produce a larger, faster improvement in customer-facing delivery reliability than reassigning routes between factories.</w:t>
      </w:r>
    </w:p>
    <w:p>
      <w:pPr>
        <w:pStyle w:val="Heading1"/>
        <w:spacing w:after="120" w:before="260"/>
      </w:pPr>
      <w:r>
        <w:t xml:space="preserve">At a Glance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000"/>
      </w:tblGrid>
      <w:tr>
        <w:trPr>
          <w:tblHeader/>
        </w:trPr>
        <w:tc>
          <w:tcPr>
            <w:tcW w:type="dxa" w:w="5400"/>
            <w:shd w:fill="2E437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2E437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Total Shipments Analyzed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10,194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Active Routes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196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Overall Delay Rate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Standard Class Delay Rate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Fastest Ship Mode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Key Bottleneck State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Tennessee</w:t>
            </w:r>
          </w:p>
        </w:tc>
      </w:tr>
    </w:tbl>
    <w:p>
      <w:pPr>
        <w:spacing w:after="200"/>
      </w:pPr>
    </w:p>
    <w:p>
      <w:pPr>
        <w:spacing w:after="160"/>
        <w:jc w:val="center"/>
      </w:pPr>
      <w:r>
        <w:drawing>
          <wp:inline distT="0" distB="0" distL="0" distR="0">
            <wp:extent cx="4953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t xml:space="preserve">Technical Note</w:t>
      </w:r>
    </w:p>
    <w:p>
      <w:pPr>
        <w:spacing w:after="140"/>
      </w:pPr>
      <w:r>
        <w:rPr>
          <w:i/>
          <w:iCs/>
          <w:sz w:val="20"/>
          <w:szCs w:val="20"/>
        </w:rPr>
        <w:t>The raw Ship Date field contained a data quality defect (corrupted year values, unrelated to shipping method). This was identified through business-logic validation and corrected before analysis; see the full research paper for methodology. The corrected values are best read as a consistent, comparable index for ranking routes and ship modes — not as literal real-world shipping days. All figures in this summary reflect the corrected data on this comparative basis.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bd694d64999c3cee11d5d5a40c90855dc1fa25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2026-08-22T15:53:38.170Z</dcterms:created>
  <dcterms:modified xsi:type="dcterms:W3CDTF">2026-08-22T15:53:38.170Z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