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Handbook</w:t>
      </w:r>
    </w:p>
    <w:p>
      <w:pPr>
        <w:pStyle w:val="Heading2"/>
      </w:pPr>
      <w:r>
        <w:t>Leave Policy</w:t>
      </w:r>
    </w:p>
    <w:p>
      <w:r>
        <w:t>Full-time employees accrue 20 days of paid annual leave per year, credited monthly. Unused leave may be carried over up to a maximum of 5 days into the next calendar year.</w:t>
      </w:r>
    </w:p>
    <w:p>
      <w:pPr>
        <w:pStyle w:val="Heading2"/>
      </w:pPr>
      <w:r>
        <w:t>Sick Leave</w:t>
      </w:r>
    </w:p>
    <w:p>
      <w:r>
        <w:t>Employees are entitled to 10 days of paid sick leave per year. A medical certificate is required for absences longer than 2 consecutive days.</w:t>
      </w:r>
    </w:p>
    <w:p>
      <w:pPr>
        <w:pStyle w:val="Heading2"/>
      </w:pPr>
      <w:r>
        <w:t>Public Holidays</w:t>
      </w:r>
    </w:p>
    <w:p>
      <w:r>
        <w:t>The company observes all nationally recognized public holidays. A list of observed holidays is published annually by HR in January.</w:t>
      </w:r>
    </w:p>
    <w:p>
      <w:pPr>
        <w:pStyle w:val="Heading2"/>
      </w:pPr>
      <w:r>
        <w:t>Parental Leave</w:t>
      </w:r>
    </w:p>
    <w:p>
      <w:r>
        <w:t>Eligible employees may take up to 12 weeks of paid parental leave following the birth or adoption of a child.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