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6.png" ContentType="image/png"/>
  <Override PartName="/word/media/rId23.png" ContentType="image/png"/>
  <Override PartName="/word/media/rId22.png" ContentType="image/png"/>
  <Override PartName="/word/media/rId24.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w:t>
      </w:r>
      <w:r>
        <w:t xml:space="preserve"> </w:t>
      </w:r>
      <w:r>
        <w:t xml:space="preserve">of</w:t>
      </w:r>
      <w:r>
        <w:t xml:space="preserve"> </w:t>
      </w:r>
      <w:r>
        <w:t xml:space="preserve">PMSM/BLDC</w:t>
      </w:r>
      <w:r>
        <w:t xml:space="preserve"> </w:t>
      </w:r>
      <w:r>
        <w:t xml:space="preserve">Motor:</w:t>
      </w:r>
      <w:r>
        <w:t xml:space="preserve"> </w:t>
      </w:r>
      <w:r>
        <w:t xml:space="preserve">Design,</w:t>
      </w:r>
      <w:r>
        <w:t xml:space="preserve"> </w:t>
      </w:r>
      <w:r>
        <w:t xml:space="preserve">Dynamics,</w:t>
      </w:r>
      <w:r>
        <w:t xml:space="preserve"> </w:t>
      </w:r>
      <w:r>
        <w:t xml:space="preserve">Drive</w:t>
      </w:r>
    </w:p>
    <w:p>
      <w:pPr>
        <w:pStyle w:val="Author"/>
      </w:pPr>
      <w:r>
        <w:t xml:space="preserve">Ajay</w:t>
      </w:r>
      <w:r>
        <w:t xml:space="preserve"> </w:t>
      </w:r>
      <w:r>
        <w:t xml:space="preserve">G</w:t>
      </w:r>
    </w:p>
    <w:p>
      <w:pPr>
        <w:pStyle w:val="FirstParagraph"/>
      </w:pPr>
      <w:r>
        <w:t xml:space="preserve"> </w:t>
      </w:r>
    </w:p>
    <w:p>
      <w:pPr>
        <w:pStyle w:val="Heading3"/>
      </w:pPr>
      <w:bookmarkStart w:id="20" w:name="introduction"/>
      <w:r>
        <w:t xml:space="preserve">Introduction</w:t>
      </w:r>
      <w:bookmarkEnd w:id="20"/>
    </w:p>
    <w:p>
      <w:pPr>
        <w:pStyle w:val="FirstParagraph"/>
      </w:pPr>
      <w:r>
        <w:t xml:space="preserve">What is a robot?</w:t>
      </w:r>
    </w:p>
    <w:p>
      <w:pPr>
        <w:pStyle w:val="Compact"/>
      </w:pPr>
      <w:r>
        <w:t xml:space="preserve">A robot is a bunch of actuator connected by a link(a structure). Actuators, being one of the fundamental element of a robot, will determine the core capabilities and limitation of a robot.</w:t>
      </w:r>
      <w:r>
        <w:t xml:space="preserve"> </w:t>
      </w:r>
      <w:r>
        <w:t xml:space="preserve">Thus a thorough understanding of the actuator will help us to optimise it based upon our requirment.</w:t>
      </w:r>
      <w:r>
        <w:t xml:space="preserve"> </w:t>
      </w:r>
      <w:r>
        <w:t xml:space="preserve">In this article we restrict ourself to Electromagnetic Actuator (Motors), since it is the most widely used one and has a higher energy efficiency compared to others like hydraulic, pneumatic, etc. Out of all the various type of motor like Induction, Reluctance, PMSM/BLDC, DC, Stepper, etc.</w:t>
      </w:r>
      <w:r>
        <w:t xml:space="preserve"> </w:t>
      </w:r>
      <w:r>
        <w:t xml:space="preserve">I’ll be focusing on only BLDC/PMSM Motors due to its superior perfomance compared to others.</w:t>
      </w:r>
      <w:r>
        <w:t xml:space="preserve"> </w:t>
      </w:r>
      <w:r>
        <w:t xml:space="preserve">However most of the concepts you learn here, will be helpful for understanding other motors too.</w:t>
      </w:r>
      <w:r>
        <w:t xml:space="preserve"> </w:t>
      </w:r>
      <w:r>
        <w:t xml:space="preserve">Our goal is to understand various factors of EM actuator which influences the perfomance and hopefully to justify why</w:t>
      </w:r>
      <w:r>
        <w:t xml:space="preserve"> </w:t>
      </w:r>
      <w:r>
        <w:rPr>
          <w:b/>
        </w:rPr>
        <w:t xml:space="preserve">pancake shaped, Quasi Direct-Drive PMSM/BLDC motor, with 4Q control drivers &amp; SEA</w:t>
      </w:r>
      <w:r>
        <w:t xml:space="preserve"> </w:t>
      </w:r>
      <w:r>
        <w:t xml:space="preserve">will be the norm of the robotics in future.</w:t>
      </w:r>
    </w:p>
    <w:p>
      <w:pPr>
        <w:pStyle w:val="BodyText"/>
      </w:pPr>
      <w:r>
        <w:t xml:space="preserve"> </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64359"/>
            <wp:effectExtent b="0" l="0" r="0" t="0"/>
            <wp:docPr descr="Stator &amp; Rotor, Source:[1]" title="" id="1" name="Picture"/>
            <a:graphic>
              <a:graphicData uri="http://schemas.openxmlformats.org/drawingml/2006/picture">
                <pic:pic>
                  <pic:nvPicPr>
                    <pic:cNvPr descr="https://ajaygunalan.github.io/projects/asset/past/motor/stator_rotor.png" id="0" name="Picture"/>
                    <pic:cNvPicPr>
                      <a:picLocks noChangeArrowheads="1" noChangeAspect="1"/>
                    </pic:cNvPicPr>
                  </pic:nvPicPr>
                  <pic:blipFill>
                    <a:blip r:embed="rId22"/>
                    <a:stretch>
                      <a:fillRect/>
                    </a:stretch>
                  </pic:blipFill>
                  <pic:spPr bwMode="auto">
                    <a:xfrm>
                      <a:off x="0" y="0"/>
                      <a:ext cx="5334000" cy="2764359"/>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 &amp; Gap Radius</w:t>
      </w:r>
    </w:p>
    <w:p>
      <w:pPr>
        <w:numPr>
          <w:numId w:val="1000"/>
          <w:ilvl w:val="0"/>
        </w:numPr>
      </w:pPr>
      <w:r>
        <w:t xml:space="preserve">Air Gap is the distance between stator and rotor.</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 When we mean pancake shaped motor, we mean motors with</w:t>
      </w:r>
      <w:r>
        <w:t xml:space="preserve"> </w:t>
      </w:r>
      <m:oMath>
        <m:sSub>
          <m:e>
            <m:r>
              <m:t>R</m:t>
            </m:r>
          </m:e>
          <m:sub>
            <m:r>
              <m:t>g</m:t>
            </m:r>
            <m:r>
              <m:t>a</m:t>
            </m:r>
            <m:r>
              <m:t>p</m:t>
            </m:r>
          </m:sub>
        </m:sSub>
        <m:r>
          <m:t>&gt;</m:t>
        </m:r>
        <m:sSub>
          <m:e>
            <m:r>
              <m:t>L</m:t>
            </m:r>
          </m:e>
          <m:sub>
            <m:r>
              <m:t>a</m:t>
            </m:r>
            <m:r>
              <m:t>x</m:t>
            </m:r>
            <m:r>
              <m:t>i</m:t>
            </m:r>
            <m:r>
              <m:t>a</m:t>
            </m:r>
            <m:r>
              <m:t>l</m:t>
            </m:r>
          </m:sub>
        </m:sSub>
      </m:oMath>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31364"/>
            <wp:effectExtent b="0" l="0" r="0" t="0"/>
            <wp:docPr descr="Tooth &amp; Slot, Source:[1]" title="" id="1" name="Picture"/>
            <a:graphic>
              <a:graphicData uri="http://schemas.openxmlformats.org/drawingml/2006/picture">
                <pic:pic>
                  <pic:nvPicPr>
                    <pic:cNvPr descr="https://ajaygunalan.github.io/projects/asset/past/motor/tooth_slot.png" id="0" name="Picture"/>
                    <pic:cNvPicPr>
                      <a:picLocks noChangeArrowheads="1" noChangeAspect="1"/>
                    </pic:cNvPicPr>
                  </pic:nvPicPr>
                  <pic:blipFill>
                    <a:blip r:embed="rId24"/>
                    <a:stretch>
                      <a:fillRect/>
                    </a:stretch>
                  </pic:blipFill>
                  <pic:spPr bwMode="auto">
                    <a:xfrm>
                      <a:off x="0" y="0"/>
                      <a:ext cx="5334000" cy="3831364"/>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1"/>
          <w:ilvl w:val="0"/>
        </w:numPr>
      </w:pPr>
      <w:r>
        <w:rPr>
          <w:b/>
        </w:rPr>
        <w:t xml:space="preserve">Turns</w:t>
      </w:r>
    </w:p>
    <w:p>
      <w:pPr>
        <w:numPr>
          <w:numId w:val="1000"/>
          <w:ilvl w:val="0"/>
        </w:numPr>
      </w:pPr>
      <w:r>
        <w:t xml:space="preserve">Each individual loop of wire making up phase winding is a Turn.</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w:t>
      </w:r>
    </w:p>
    <w:p>
      <w:pPr>
        <w:numPr>
          <w:numId w:val="1000"/>
          <w:ilvl w:val="0"/>
        </w:numPr>
      </w:pPr>
      <w:r>
        <w:rPr>
          <w:b/>
        </w:rPr>
        <w:t xml:space="preserve">Electrical degree</w:t>
      </w:r>
      <w:r>
        <w:t xml:space="preserve"> </w:t>
      </w:r>
      <w:r>
        <w:t xml:space="preserve">(</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r>
        <w:t xml:space="preserve"> </w:t>
      </w:r>
      <m:oMath>
        <m:sSub>
          <m:e>
            <m:r>
              <m:t>θ</m:t>
            </m:r>
          </m:e>
          <m:sub>
            <m:r>
              <m:t>e</m:t>
            </m:r>
          </m:sub>
        </m:sSub>
        <m:r>
          <m:t>=</m:t>
        </m:r>
        <m:f>
          <m:fPr>
            <m:type m:val="bar"/>
          </m:fPr>
          <m:num>
            <m:sSub>
              <m:e>
                <m:r>
                  <m:t>N</m:t>
                </m:r>
              </m:e>
              <m:sub>
                <m:r>
                  <m:t>m</m:t>
                </m:r>
              </m:sub>
            </m:sSub>
          </m:num>
          <m:den>
            <m:r>
              <m:t>2</m:t>
            </m:r>
          </m:den>
        </m:f>
        <m:sSub>
          <m:e>
            <m:r>
              <m:t>θ</m:t>
            </m:r>
          </m:e>
          <m:sub>
            <m:r>
              <m:t>m</m:t>
            </m:r>
          </m:sub>
        </m:sSub>
      </m:oMath>
    </w:p>
    <w:p>
      <w:pPr>
        <w:pStyle w:val="FirstParagraph"/>
      </w:pPr>
      <w:r>
        <w:t xml:space="preserve"> </w:t>
      </w:r>
    </w:p>
    <w:p>
      <w:pPr>
        <w:pStyle w:val="Heading3"/>
      </w:pPr>
      <w:bookmarkStart w:id="25" w:name="motor-parameters"/>
      <w:r>
        <w:t xml:space="preserve">Motor Parameters</w:t>
      </w:r>
      <w:bookmarkEnd w:id="25"/>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r>
        <w:t xml:space="preserve"> </w:t>
      </w:r>
      <w:r>
        <w:t xml:space="preserve">Thus before delving into the various paramters of a motor, we need to have model the motor.</w:t>
      </w:r>
      <w:r>
        <w:t xml:space="preserve"> </w:t>
      </w:r>
      <w:r>
        <w:t xml:space="preserve">Most motor are modelled as a Resistor, Inductor and volatge source(</w:t>
      </w:r>
      <m:oMath>
        <m:r>
          <m:t>E</m:t>
        </m:r>
      </m:oMath>
      <w:r>
        <w:t xml:space="preserve">) in series:</w:t>
      </w:r>
    </w:p>
    <w:p>
      <w:pPr>
        <w:pStyle w:val="CaptionedFigure"/>
      </w:pPr>
      <w:r>
        <w:drawing>
          <wp:inline>
            <wp:extent cx="5334000" cy="2951188"/>
            <wp:effectExtent b="0" l="0" r="0" t="0"/>
            <wp:docPr descr="Basic Motor Model, Source:[1]" title="" id="1" name="Picture"/>
            <a:graphic>
              <a:graphicData uri="http://schemas.openxmlformats.org/drawingml/2006/picture">
                <pic:pic>
                  <pic:nvPicPr>
                    <pic:cNvPr descr="https://ajaygunalan.github.io/projects/asset/past/motor/basic_model.png" id="0" name="Picture"/>
                    <pic:cNvPicPr>
                      <a:picLocks noChangeArrowheads="1" noChangeAspect="1"/>
                    </pic:cNvPicPr>
                  </pic:nvPicPr>
                  <pic:blipFill>
                    <a:blip r:embed="rId26"/>
                    <a:stretch>
                      <a:fillRect/>
                    </a:stretch>
                  </pic:blipFill>
                  <pic:spPr bwMode="auto">
                    <a:xfrm>
                      <a:off x="0" y="0"/>
                      <a:ext cx="5334000" cy="2951188"/>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1]" title="" id="1" name="Picture"/>
            <a:graphic>
              <a:graphicData uri="http://schemas.openxmlformats.org/drawingml/2006/picture">
                <pic:pic>
                  <pic:nvPicPr>
                    <pic:cNvPr descr="https://ajaygunalan.github.io/projects/asset/past/motor/advanced_model.png" id="0" name="Picture"/>
                    <pic:cNvPicPr>
                      <a:picLocks noChangeArrowheads="1" noChangeAspect="1"/>
                    </pic:cNvPicPr>
                  </pic:nvPicPr>
                  <pic:blipFill>
                    <a:blip r:embed="rId27"/>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48271"/>
            <wp:effectExtent b="0" l="0" r="0" t="0"/>
            <wp:docPr descr="primitve motor in a steady-state, Source:[3]" title="" id="1" name="Picture"/>
            <a:graphic>
              <a:graphicData uri="http://schemas.openxmlformats.org/drawingml/2006/picture">
                <pic:pic>
                  <pic:nvPicPr>
                    <pic:cNvPr descr="https://ajaygunalan.github.io/projects/asset/past/motor/v_is_not_zero.png" id="0" name="Picture"/>
                    <pic:cNvPicPr>
                      <a:picLocks noChangeArrowheads="1" noChangeAspect="1"/>
                    </pic:cNvPicPr>
                  </pic:nvPicPr>
                  <pic:blipFill>
                    <a:blip r:embed="rId28"/>
                    <a:stretch>
                      <a:fillRect/>
                    </a:stretch>
                  </pic:blipFill>
                  <pic:spPr bwMode="auto">
                    <a:xfrm>
                      <a:off x="0" y="0"/>
                      <a:ext cx="5334000" cy="1348271"/>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3</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120746"/>
            <wp:effectExtent b="0" l="0" r="0" t="0"/>
            <wp:docPr descr="primitve motor in a stall condition, Source:[3]" title="" id="1" name="Picture"/>
            <a:graphic>
              <a:graphicData uri="http://schemas.openxmlformats.org/drawingml/2006/picture">
                <pic:pic>
                  <pic:nvPicPr>
                    <pic:cNvPr descr="https://ajaygunalan.github.io/projects/asset/past/motor/v_is_zero.png" id="0" name="Picture"/>
                    <pic:cNvPicPr>
                      <a:picLocks noChangeArrowheads="1" noChangeAspect="1"/>
                    </pic:cNvPicPr>
                  </pic:nvPicPr>
                  <pic:blipFill>
                    <a:blip r:embed="rId29"/>
                    <a:stretch>
                      <a:fillRect/>
                    </a:stretch>
                  </pic:blipFill>
                  <pic:spPr bwMode="auto">
                    <a:xfrm>
                      <a:off x="0" y="0"/>
                      <a:ext cx="5334000" cy="2120746"/>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3</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oMath>
      <w:r>
        <w:t xml:space="preserve"> </w:t>
      </w:r>
      <w:r>
        <w:t xml:space="preserve">is the Torque constant and</w:t>
      </w:r>
      <w:r>
        <w:t xml:space="preserve"> </w:t>
      </w:r>
      <m:oMath>
        <m:sSub>
          <m:e>
            <m:r>
              <m:t>K</m:t>
            </m:r>
          </m:e>
          <m:sub>
            <m:r>
              <m:t>e</m:t>
            </m:r>
          </m:sub>
        </m:sSub>
      </m:oMath>
      <w:r>
        <w:t xml:space="preserve"> </w:t>
      </w:r>
      <w:r>
        <w:t xml:space="preserve">is the Back emf constant.</w:t>
      </w:r>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i.e,</w:t>
      </w:r>
      <w:r>
        <w:t xml:space="preserve"> </w:t>
      </w:r>
      <m:oMath>
        <m:sSub>
          <m:e>
            <m:r>
              <m:t>K</m:t>
            </m:r>
          </m:e>
          <m:sub>
            <m:r>
              <m:t>t</m:t>
            </m:r>
          </m:sub>
        </m:sSub>
        <m:r>
          <m:t>=</m:t>
        </m:r>
        <m:r>
          <m:t>f</m:t>
        </m:r>
        <m:r>
          <m:t>(</m:t>
        </m:r>
        <m:sSub>
          <m:e>
            <m:r>
              <m:t>θ</m:t>
            </m:r>
          </m:e>
          <m:sub>
            <m:r>
              <m:t>e</m:t>
            </m:r>
          </m:sub>
        </m:sSub>
        <m:r>
          <m:t>)</m:t>
        </m:r>
      </m:oMath>
      <w:r>
        <w:t xml:space="preserve"> </w:t>
      </w:r>
      <w:r>
        <w:t xml:space="preserve">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numPr>
          <w:numId w:val="1000"/>
          <w:ilvl w:val="0"/>
        </w:numPr>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t xml:space="preserve">It is winding invariant</w:t>
      </w:r>
      <w:r>
        <w:t xml:space="preserve"> </w:t>
      </w:r>
      <w:r>
        <w:t xml:space="preserve">[</w:t>
      </w:r>
      <w:hyperlink w:anchor="ref-kenneally_leg_2015">
        <w:r>
          <w:rPr>
            <w:rStyle w:val="Hyperlink"/>
          </w:rPr>
          <w:t xml:space="preserve">4</w:t>
        </w:r>
      </w:hyperlink>
      <w:r>
        <w:t xml:space="preserve">]</w:t>
      </w:r>
      <w:r>
        <w:t xml:space="preserve"> </w:t>
      </w:r>
      <w:r>
        <w:t xml:space="preserve">as long as same conductimg wires are used. For given winding volume,</w:t>
      </w:r>
      <w:r>
        <w:t xml:space="preserve"> </w:t>
      </w:r>
      <m:oMath>
        <m:r>
          <m:t>(</m:t>
        </m:r>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r>
          <m:t>)</m:t>
        </m:r>
      </m:oMath>
      <w:r>
        <w:t xml:space="preserve">, the resistance of the winding,</w:t>
      </w:r>
      <w:r>
        <w:t xml:space="preserve"> </w:t>
      </w: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r>
        <w:t xml:space="preserve"> </w:t>
      </w: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pStyle w:val="FirstParagraph"/>
      </w:pPr>
      <m:oMathPara>
        <m:oMathParaPr>
          <m:jc m:val="center"/>
        </m:oMathParaPr>
        <m:oMath>
          <m:sSubSup>
            <m:e>
              <m:r>
                <m:t>K</m:t>
              </m:r>
            </m:e>
            <m:sub>
              <m:r>
                <m:t>m</m:t>
              </m:r>
            </m:sub>
            <m:sup>
              <m:r>
                <m:t>2</m:t>
              </m:r>
            </m:sup>
          </m:sSubSup>
          <m:r>
            <m:t>=</m:t>
          </m:r>
          <m:f>
            <m:fPr>
              <m:type m:val="bar"/>
            </m:fPr>
            <m:num>
              <m:sSup>
                <m:e>
                  <m:r>
                    <m:t>τ</m:t>
                  </m:r>
                </m:e>
                <m:sup>
                  <m:r>
                    <m:t>2</m:t>
                  </m:r>
                </m:sup>
              </m:sSup>
            </m:num>
            <m:den>
              <m:sSup>
                <m:e>
                  <m:r>
                    <m:t>i</m:t>
                  </m:r>
                </m:e>
                <m:sup>
                  <m:r>
                    <m:t>2</m:t>
                  </m:r>
                </m:sup>
              </m:sSup>
              <m:r>
                <m:t>R</m:t>
              </m:r>
            </m:den>
          </m:f>
          <m:r>
            <m:t>=</m:t>
          </m:r>
          <m:f>
            <m:fPr>
              <m:type m:val="bar"/>
            </m:fPr>
            <m:num>
              <m:r>
                <m:t>n</m:t>
              </m:r>
              <m:r>
                <m:t>(</m:t>
              </m:r>
              <m:sSup>
                <m:e>
                  <m:r>
                    <m:t>B</m:t>
                  </m:r>
                </m:e>
                <m:sup>
                  <m:r>
                    <m:t>2</m:t>
                  </m:r>
                </m:sup>
              </m:sSup>
              <m:sSup>
                <m:e>
                  <m:r>
                    <m:t>i</m:t>
                  </m:r>
                </m:e>
                <m:sup>
                  <m:r>
                    <m:t>2</m:t>
                  </m:r>
                </m:sup>
              </m:sSup>
              <m:sSubSup>
                <m:e>
                  <m:r>
                    <m:t>l</m:t>
                  </m:r>
                </m:e>
                <m:sub>
                  <m:r>
                    <m:t>a</m:t>
                  </m:r>
                  <m:r>
                    <m:t>x</m:t>
                  </m:r>
                  <m:r>
                    <m:t>i</m:t>
                  </m:r>
                  <m:r>
                    <m:t>a</m:t>
                  </m:r>
                  <m:r>
                    <m:t>l</m:t>
                  </m:r>
                </m:sub>
                <m:sup>
                  <m:r>
                    <m:t>2</m:t>
                  </m:r>
                </m:sup>
              </m:sSubSup>
              <m:sSubSup>
                <m:e>
                  <m:r>
                    <m:t>r</m:t>
                  </m:r>
                </m:e>
                <m:sub>
                  <m:r>
                    <m:t>g</m:t>
                  </m:r>
                  <m:r>
                    <m:t>a</m:t>
                  </m:r>
                  <m:r>
                    <m:t>p</m:t>
                  </m:r>
                </m:sub>
                <m:sup>
                  <m:r>
                    <m:t>2</m:t>
                  </m:r>
                </m:sup>
              </m:sSubSup>
              <m:r>
                <m:t>)</m:t>
              </m:r>
            </m:num>
            <m:den>
              <m:sSup>
                <m:e>
                  <m:r>
                    <m:t>i</m:t>
                  </m:r>
                </m:e>
                <m:sup>
                  <m:r>
                    <m:t>2</m:t>
                  </m:r>
                </m:sup>
              </m:sSup>
              <m:r>
                <m:t>ρ</m:t>
              </m:r>
              <m:f>
                <m:fPr>
                  <m:type m:val="bar"/>
                </m:fPr>
                <m:num>
                  <m:sSub>
                    <m:e>
                      <m:r>
                        <m:t>l</m:t>
                      </m:r>
                    </m:e>
                    <m:sub>
                      <m:r>
                        <m:t>a</m:t>
                      </m:r>
                      <m:r>
                        <m:t>x</m:t>
                      </m:r>
                      <m:r>
                        <m:t>i</m:t>
                      </m:r>
                      <m:r>
                        <m:t>a</m:t>
                      </m:r>
                      <m:r>
                        <m:t>l</m:t>
                      </m:r>
                    </m:sub>
                  </m:sSub>
                </m:num>
                <m:den>
                  <m:r>
                    <m:t>A</m:t>
                  </m:r>
                </m:den>
              </m:f>
            </m:den>
          </m:f>
          <m:r>
            <m:t>=</m:t>
          </m:r>
          <m:f>
            <m:fPr>
              <m:type m:val="bar"/>
            </m:fPr>
            <m:num>
              <m:r>
                <m:t>n</m:t>
              </m:r>
              <m:sSub>
                <m:e>
                  <m:r>
                    <m:t>l</m:t>
                  </m:r>
                </m:e>
                <m:sub>
                  <m:r>
                    <m:t>a</m:t>
                  </m:r>
                  <m:r>
                    <m:t>x</m:t>
                  </m:r>
                  <m:r>
                    <m:t>i</m:t>
                  </m:r>
                  <m:r>
                    <m:t>a</m:t>
                  </m:r>
                  <m:r>
                    <m:t>l</m:t>
                  </m:r>
                </m:sub>
              </m:sSub>
              <m:sSup>
                <m:e>
                  <m:r>
                    <m:t>B</m:t>
                  </m:r>
                </m:e>
                <m:sup>
                  <m:r>
                    <m:t>2</m:t>
                  </m:r>
                </m:sup>
              </m:sSup>
              <m:sSubSup>
                <m:e>
                  <m:r>
                    <m:t>r</m:t>
                  </m:r>
                </m:e>
                <m:sub>
                  <m:r>
                    <m:t>g</m:t>
                  </m:r>
                  <m:r>
                    <m:t>a</m:t>
                  </m:r>
                  <m:r>
                    <m:t>p</m:t>
                  </m:r>
                </m:sub>
                <m:sup>
                  <m:r>
                    <m:t>2</m:t>
                  </m:r>
                </m:sup>
              </m:sSubSup>
              <m:r>
                <m:t>A</m:t>
              </m:r>
            </m:num>
            <m:den>
              <m:r>
                <m:t>ρ</m:t>
              </m:r>
            </m:den>
          </m:f>
        </m:oMath>
      </m:oMathPara>
    </w:p>
    <w:p>
      <w:pPr>
        <w:numPr>
          <w:numId w:val="1000"/>
          <w:ilvl w:val="0"/>
        </w:numPr>
      </w:pPr>
      <w:r>
        <w:t xml:space="preserve">thus for given a particular wire gauge, the number of wires (n) in the cross section scales linearly with the radius.</w:t>
      </w:r>
      <w:r>
        <w:t xml:space="preserve">[</w:t>
      </w:r>
      <w:hyperlink w:anchor="ref-wensing_proprioceptive_2017">
        <w:r>
          <w:rPr>
            <w:rStyle w:val="Hyperlink"/>
          </w:rPr>
          <w:t xml:space="preserve">5</w:t>
        </w:r>
      </w:hyperlink>
      <w:r>
        <w:t xml:space="preserve">]</w:t>
      </w:r>
    </w:p>
    <w:p>
      <w:pPr>
        <w:numPr>
          <w:numId w:val="1000"/>
          <w:ilvl w:val="0"/>
        </w:numPr>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63.2% percent of its rated value. The time constant found by dividing inductance by resistance.</w:t>
      </w:r>
      <w:r>
        <w:t xml:space="preserve">[</w:t>
      </w:r>
      <w:hyperlink w:anchor="ref-asada_direct-drive_1987">
        <w:r>
          <w:rPr>
            <w:rStyle w:val="Hyperlink"/>
          </w:rPr>
          <w:t xml:space="preserve">6</w:t>
        </w:r>
      </w:hyperlink>
      <w:r>
        <w:t xml:space="preserv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r>
        <w:br w:type="textWrapping"/>
      </w:r>
    </w:p>
    <w:p>
      <w:pPr>
        <w:pStyle w:val="BodyText"/>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2"/>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w:t>
      </w:r>
      <w:r>
        <w:t xml:space="preserve"> </w:t>
      </w:r>
      <w:r>
        <w:t xml:space="preserve">[</w:t>
      </w:r>
      <w:hyperlink w:anchor="ref-kenneally_design_2016">
        <w:r>
          <w:rPr>
            <w:rStyle w:val="Hyperlink"/>
          </w:rPr>
          <w:t xml:space="preserve">7</w:t>
        </w:r>
      </w:hyperlink>
      <w:r>
        <w:t xml:space="preserve">]</w:t>
      </w:r>
      <w:r>
        <w:t xml:space="preserve">,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2"/>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2"/>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2"/>
          <w:ilvl w:val="0"/>
        </w:numPr>
      </w:pPr>
      <w:r>
        <w:rPr>
          <w:b/>
        </w:rPr>
        <w:t xml:space="preserve">Cooling (C)</w:t>
      </w:r>
    </w:p>
    <w:p>
      <w:pPr>
        <w:numPr>
          <w:numId w:val="1000"/>
          <w:ilvl w:val="0"/>
        </w:numPr>
      </w:pPr>
      <w:r>
        <w:t xml:space="preserve">As intuitive and as basic the better the cooling the better will be the perfomance of our motor.</w:t>
      </w:r>
    </w:p>
    <w:p>
      <w:pPr>
        <w:pStyle w:val="FirstParagraph"/>
      </w:pPr>
      <w:r>
        <w:t xml:space="preserve"> </w:t>
      </w:r>
    </w:p>
    <w:p>
      <w:pPr>
        <w:pStyle w:val="Heading3"/>
      </w:pPr>
      <w:bookmarkStart w:id="30" w:name="characteristics"/>
      <w:r>
        <w:t xml:space="preserve">Characteristics</w:t>
      </w:r>
      <w:bookmarkEnd w:id="30"/>
    </w:p>
    <w:p>
      <w:pPr>
        <w:numPr>
          <w:numId w:val="1004"/>
          <w:ilvl w:val="0"/>
        </w:numPr>
      </w:pPr>
      <w:r>
        <w:rPr>
          <w:b/>
        </w:rPr>
        <w:t xml:space="preserve">Resistance</w:t>
      </w:r>
    </w:p>
    <w:p>
      <w:pPr>
        <w:numPr>
          <w:numId w:val="1000"/>
          <w:ilvl w:val="0"/>
        </w:numPr>
      </w:pPr>
      <w:r>
        <w:t xml:space="preserve">Responsible for heating loss, can be easily modeled as simple lumped resistor.</w:t>
      </w:r>
    </w:p>
    <w:p>
      <w:pPr>
        <w:numPr>
          <w:numId w:val="1004"/>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and will resist rapid changes in current by generating voltage across it. However, this is not the back EMF.</w:t>
      </w:r>
      <w:r>
        <w:t xml:space="preserve"> </w:t>
      </w:r>
      <w:r>
        <w:t xml:space="preserve">The value of inductance is less straightforward to calculate because the phases are not magnetically independent. That is, current in one phase can induce flux in another.</w:t>
      </w:r>
      <w:r>
        <w:t xml:space="preserve"> </w:t>
      </w:r>
      <w:r>
        <w:t xml:space="preserve">Under sinusoidal drive currents, it is possible to use a lumped inductance, called the</w:t>
      </w:r>
      <w:r>
        <w:t xml:space="preserve"> </w:t>
      </w:r>
      <w:r>
        <w:rPr>
          <w:b/>
        </w:rPr>
        <w:t xml:space="preserve">synchronous inductance</w:t>
      </w:r>
      <w:r>
        <w:t xml:space="preserve">, to accommodate for this. The value of the synchronous inductance is</w:t>
      </w:r>
      <w:r>
        <w:t xml:space="preserve"> </w:t>
      </w:r>
      <w:r>
        <w:t xml:space="preserve">[</w:t>
      </w:r>
      <w:hyperlink w:anchor="ref-colton_design_2010">
        <w:r>
          <w:rPr>
            <w:rStyle w:val="Hyperlink"/>
          </w:rPr>
          <w:t xml:space="preserve">1</w:t>
        </w:r>
      </w:hyperlink>
      <w:r>
        <w:t xml:space="preserve">]</w:t>
      </w:r>
      <w:r>
        <w:t xml:space="preserve">:</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stores energy in the form of a magnetic field any time there is current in the winding.</w:t>
      </w:r>
      <w:r>
        <w:t xml:space="preserve"> </w:t>
      </w:r>
      <w:r>
        <w:t xml:space="preserve">When a winding is switched off, this energy must go somewhere.</w:t>
      </w:r>
      <w:r>
        <w:t xml:space="preserve"> </w:t>
      </w:r>
      <w:r>
        <w:t xml:space="preserve">For this reason, controller drivers contain</w:t>
      </w:r>
      <w:r>
        <w:t xml:space="preserve"> </w:t>
      </w:r>
      <w:r>
        <w:rPr>
          <w:b/>
        </w:rPr>
        <w:t xml:space="preserve">flyback diodes</w:t>
      </w:r>
      <w:r>
        <w:t xml:space="preserve"> </w:t>
      </w:r>
      <w:r>
        <w:t xml:space="preserve">that allow this current to circulate even when all the switches are open.</w:t>
      </w:r>
    </w:p>
    <w:p>
      <w:pPr>
        <w:numPr>
          <w:numId w:val="1000"/>
          <w:ilvl w:val="0"/>
        </w:numPr>
      </w:pPr>
      <w:r>
        <w:t xml:space="preserve">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In Non-Salient, the rotor is rotationally symmetric and has no tendency to align with stator if, magnets in rotor are removed. i.e., No</w:t>
      </w:r>
      <w:r>
        <w:t xml:space="preserve"> </w:t>
      </w:r>
      <w:r>
        <w:rPr>
          <w:b/>
        </w:rPr>
        <w:t xml:space="preserve">Reluctance Torque</w:t>
      </w:r>
      <w:r>
        <w:t xml:space="preserve"> </w:t>
      </w:r>
      <w:r>
        <w:t xml:space="preserve">thus, winding inductance does not vary with rotor position. Non-salient poles exhibit both attractive &amp; repulsive gap forces.</w:t>
      </w:r>
      <w:r>
        <w:t xml:space="preserve"> </w:t>
      </w:r>
      <w:r>
        <w:t xml:space="preserve">[</w:t>
      </w:r>
      <w:hyperlink w:anchor="ref-hendershot_design_2010">
        <w:r>
          <w:rPr>
            <w:rStyle w:val="Hyperlink"/>
          </w:rPr>
          <w:t xml:space="preserve">8</w:t>
        </w:r>
      </w:hyperlink>
      <w:r>
        <w:t xml:space="preserve">, p. 68]</w:t>
      </w:r>
    </w:p>
    <w:p>
      <w:pPr>
        <w:numPr>
          <w:numId w:val="1004"/>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9</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4"/>
          <w:ilvl w:val="0"/>
        </w:numPr>
      </w:pPr>
      <w:r>
        <w:rPr>
          <w:b/>
        </w:rPr>
        <w:t xml:space="preserve">Gap Radius</w:t>
      </w:r>
      <w:r>
        <w:t xml:space="preserve">:</w:t>
      </w:r>
    </w:p>
    <w:p>
      <w:pPr>
        <w:numPr>
          <w:numId w:val="1000"/>
          <w:ilvl w:val="0"/>
        </w:numPr>
      </w:pPr>
      <w:r>
        <w:t xml:space="preserve">It 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a</m:t>
          </m:r>
          <m:r>
            <m:t>s</m:t>
          </m:r>
          <m:r>
            <m:t>s</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pStyle w:val="BodyText"/>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5</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numPr>
          <w:numId w:val="1000"/>
          <w:ilvl w:val="0"/>
        </w:numPr>
      </w:pPr>
      <w:bookmarkStart w:id="31" w:name="eq:mass_r_gap"/>
      <m:oMathPara>
        <m:oMathParaPr>
          <m:jc m:val="center"/>
        </m:oMathParaPr>
        <m:oMath>
          <m:r>
            <m:t>M</m:t>
          </m:r>
          <m:r>
            <m:t>∝</m:t>
          </m:r>
          <m:sSub>
            <m:e>
              <m:r>
                <m:t>r</m:t>
              </m:r>
            </m:e>
            <m:sub>
              <m:r>
                <m:t>g</m:t>
              </m:r>
              <m:r>
                <m:t>a</m:t>
              </m:r>
              <m:r>
                <m:t>p</m:t>
              </m:r>
            </m:sub>
          </m:sSub>
          <m:r>
            <m:t>  </m:t>
          </m:r>
          <m:r>
            <m:t>(</m:t>
          </m:r>
          <m:r>
            <m:t>1</m:t>
          </m:r>
          <m:r>
            <m:t>)</m:t>
          </m:r>
        </m:oMath>
      </m:oMathPara>
      <w:bookmarkEnd w:id="31"/>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2</m:t>
              </m:r>
            </m:sup>
          </m:sSubSup>
          <m:r>
            <m:t>l</m:t>
          </m:r>
          <m:r>
            <m:t>σ</m:t>
          </m:r>
        </m:oMath>
      </m:oMathPara>
    </w:p>
    <w:p>
      <w:pPr>
        <w:numPr>
          <w:numId w:val="1000"/>
          <w:ilvl w:val="0"/>
        </w:numPr>
      </w:pPr>
      <w:bookmarkStart w:id="32" w:name="eq:torque_r_gap"/>
      <m:oMathPara>
        <m:oMathParaPr>
          <m:jc m:val="center"/>
        </m:oMathParaPr>
        <m:oMath>
          <m:r>
            <m:t>τ</m:t>
          </m:r>
          <m:r>
            <m:t>∝</m:t>
          </m:r>
          <m:sSubSup>
            <m:e>
              <m:r>
                <m:t>r</m:t>
              </m:r>
            </m:e>
            <m:sub>
              <m:r>
                <m:t>g</m:t>
              </m:r>
              <m:r>
                <m:t>a</m:t>
              </m:r>
              <m:r>
                <m:t>p</m:t>
              </m:r>
            </m:sub>
            <m:sup>
              <m:r>
                <m:t>2</m:t>
              </m:r>
            </m:sup>
          </m:sSubSup>
          <m:r>
            <m:t>  </m:t>
          </m:r>
          <m:r>
            <m:t>(</m:t>
          </m:r>
          <m:r>
            <m:t>2</m:t>
          </m:r>
          <m:r>
            <m:t>)</m:t>
          </m:r>
        </m:oMath>
      </m:oMathPara>
      <w:bookmarkEnd w:id="32"/>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numPr>
          <w:numId w:val="1000"/>
          <w:ilvl w:val="0"/>
        </w:numPr>
      </w:pPr>
      <w:bookmarkStart w:id="33" w:name="eq:j_r_gap"/>
      <m:oMathPara>
        <m:oMathParaPr>
          <m:jc m:val="center"/>
        </m:oMathParaPr>
        <m:oMath>
          <m:sSub>
            <m:e>
              <m:r>
                <m:t>J</m:t>
              </m:r>
            </m:e>
            <m:sub>
              <m:r>
                <m:t>r</m:t>
              </m:r>
              <m:r>
                <m:t>o</m:t>
              </m:r>
              <m:r>
                <m:t>t</m:t>
              </m:r>
              <m:r>
                <m:t>o</m:t>
              </m:r>
              <m:r>
                <m:t>r</m:t>
              </m:r>
            </m:sub>
          </m:sSub>
          <m:r>
            <m:t>∝</m:t>
          </m:r>
          <m:sSubSup>
            <m:e>
              <m:r>
                <m:t>r</m:t>
              </m:r>
            </m:e>
            <m:sub>
              <m:r>
                <m:t>g</m:t>
              </m:r>
              <m:r>
                <m:t>a</m:t>
              </m:r>
              <m:r>
                <m:t>p</m:t>
              </m:r>
            </m:sub>
            <m:sup>
              <m:r>
                <m:t>3</m:t>
              </m:r>
            </m:sup>
          </m:sSubSup>
          <m:r>
            <m:t>  </m:t>
          </m:r>
          <m:r>
            <m:t>(</m:t>
          </m:r>
          <m:r>
            <m:t>3</m:t>
          </m:r>
          <m:r>
            <m:t>)</m:t>
          </m:r>
        </m:oMath>
      </m:oMathPara>
      <w:bookmarkEnd w:id="33"/>
    </w:p>
    <w:p>
      <w:pPr>
        <w:numPr>
          <w:numId w:val="1000"/>
          <w:ilvl w:val="0"/>
        </w:numPr>
      </w:pPr>
      <w:r>
        <w:t xml:space="preserve">Frome eq. 1, eq. 2, eq. 3</w:t>
      </w:r>
    </w:p>
    <w:p>
      <w:pPr>
        <w:pStyle w:val="BodyText"/>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t xml:space="preserve">[</w:t>
      </w:r>
      <w:hyperlink w:anchor="ref-kenneally_design_2016">
        <w:r>
          <w:rPr>
            <w:rStyle w:val="Hyperlink"/>
          </w:rPr>
          <w:t xml:space="preserve">7</w:t>
        </w:r>
      </w:hyperlink>
      <w:r>
        <w:t xml:space="preserve">]</w:t>
      </w:r>
      <w:r>
        <w:t xml:space="preserve">outrunners (rotor on the outside) will be preferrable to inrunners (rotor on the inside), and this measure is tied favorably to a motor’s radius to depth ratio</w:t>
      </w:r>
      <w:r>
        <w:t xml:space="preserve"> </w:t>
      </w:r>
      <w:r>
        <w:t xml:space="preserve">[</w:t>
      </w:r>
      <w:hyperlink w:anchor="ref-asada_direct-drive_1987">
        <w:r>
          <w:rPr>
            <w:rStyle w:val="Hyperlink"/>
          </w:rPr>
          <w:t xml:space="preserve">6</w:t>
        </w:r>
      </w:hyperlink>
      <w:r>
        <w:t xml:space="preserve">]</w:t>
      </w:r>
      <w:r>
        <w:t xml:space="preserve"> </w:t>
      </w:r>
      <w:r>
        <w:t xml:space="preserve">as well as a large gap radius</w:t>
      </w:r>
      <w:r>
        <w:t xml:space="preserve"> </w:t>
      </w:r>
      <w:r>
        <w:t xml:space="preserve">[</w:t>
      </w:r>
      <w:hyperlink w:anchor="ref-seok_actuator_2012">
        <w:r>
          <w:rPr>
            <w:rStyle w:val="Hyperlink"/>
          </w:rPr>
          <w:t xml:space="preserve">2</w:t>
        </w:r>
      </w:hyperlink>
      <w:r>
        <w:t xml:space="preserve">]</w:t>
      </w:r>
      <w:r>
        <w:t xml:space="preserve">. The measure is fundamentally winding invariant [kenneally_leg_2015], but in practice other details of the motor’s construction (especially relating to the stator core and volume of copper) are critical.</w:t>
      </w:r>
    </w:p>
    <w:p>
      <w:pPr>
        <w:numPr>
          <w:numId w:val="1000"/>
          <w:ilvl w:val="0"/>
        </w:numPr>
      </w:pPr>
      <w:r>
        <w:t xml:space="preserve">[</w:t>
      </w:r>
      <w:hyperlink w:anchor="ref-seok_actuator_2012">
        <w:r>
          <w:rPr>
            <w:rStyle w:val="Hyperlink"/>
          </w:rPr>
          <w:t xml:space="preserve">2</w:t>
        </w:r>
      </w:hyperlink>
      <w:r>
        <w:t xml:space="preserve">]</w:t>
      </w:r>
    </w:p>
    <w:p>
      <w:pPr>
        <w:numPr>
          <w:numId w:val="1004"/>
          <w:ilvl w:val="0"/>
        </w:numPr>
      </w:pPr>
      <w:r>
        <w:rPr>
          <w:b/>
        </w:rPr>
        <w:t xml:space="preserve">Core vs Coreless</w:t>
      </w:r>
      <w:r>
        <w:t xml:space="preserve">:</w:t>
      </w:r>
    </w:p>
    <w:p>
      <w:pPr>
        <w:numPr>
          <w:numId w:val="1004"/>
          <w:ilvl w:val="0"/>
        </w:numPr>
      </w:pPr>
      <w:r>
        <w:rPr>
          <w:b/>
        </w:rPr>
        <w:t xml:space="preserve">Axial Flux vs Radial Flux</w:t>
      </w:r>
    </w:p>
    <w:p>
      <w:pPr>
        <w:numPr>
          <w:numId w:val="1000"/>
          <w:ilvl w:val="0"/>
        </w:numPr>
      </w:pPr>
      <w:r>
        <w:rPr>
          <w:b/>
        </w:rPr>
        <w:t xml:space="preserve">[</w:t>
      </w:r>
      <w:hyperlink w:anchor="ref-mason_compliance_1981">
        <w:r>
          <w:rPr>
            <w:rStyle w:val="Hyperlink"/>
            <w:b/>
          </w:rPr>
          <w:t xml:space="preserve">10</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FirstParagraph"/>
      </w:pPr>
      <w:r>
        <w:t xml:space="preserve"> </w:t>
      </w:r>
    </w:p>
    <w:p>
      <w:pPr>
        <w:pStyle w:val="Heading3"/>
      </w:pPr>
      <w:bookmarkStart w:id="34" w:name="losses"/>
      <w:r>
        <w:t xml:space="preserve">Losses</w:t>
      </w:r>
      <w:bookmarkEnd w:id="34"/>
    </w:p>
    <w:p>
      <w:pPr>
        <w:pStyle w:val="FirstParagraph"/>
      </w:pPr>
      <w:r>
        <w:t xml:space="preserve">Inefficiencies can be grouped into two general categories:</w:t>
      </w:r>
    </w:p>
    <w:p>
      <w:pPr>
        <w:pStyle w:val="Compact"/>
        <w:numPr>
          <w:numId w:val="1005"/>
          <w:ilvl w:val="0"/>
        </w:numPr>
      </w:pPr>
      <w:r>
        <w:t xml:space="preserve">Torque/Copper/</w:t>
      </w:r>
      <m:oMath>
        <m:sSup>
          <m:e>
            <m:r>
              <m:t>I</m:t>
            </m:r>
          </m:e>
          <m:sup>
            <m:r>
              <m:t>2</m:t>
            </m:r>
          </m:sup>
        </m:sSup>
      </m:oMath>
      <w:r>
        <w:t xml:space="preserve"> </w:t>
      </w:r>
      <w:r>
        <w:t xml:space="preserve">Losses</w:t>
      </w:r>
    </w:p>
    <w:p>
      <w:pPr>
        <w:pStyle w:val="Compact"/>
        <w:numPr>
          <w:numId w:val="1005"/>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w:t>
      </w:r>
    </w:p>
    <w:p>
      <w:pPr>
        <w:pStyle w:val="Heading3"/>
      </w:pPr>
      <w:bookmarkStart w:id="35" w:name="selection-criteria"/>
      <w:r>
        <w:t xml:space="preserve">Selection Criteria</w:t>
      </w:r>
      <w:bookmarkEnd w:id="35"/>
    </w:p>
    <w:p>
      <w:pPr>
        <w:pStyle w:val="FirstParagraph"/>
      </w:pPr>
      <w:r>
        <w:t xml:space="preserve">[</w:t>
      </w:r>
      <w:hyperlink w:anchor="ref-seok_actuator_2012">
        <w:r>
          <w:rPr>
            <w:rStyle w:val="Hyperlink"/>
          </w:rPr>
          <w:t xml:space="preserve">2</w:t>
        </w:r>
      </w:hyperlink>
      <w:r>
        <w:t xml:space="preserve">]</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BodyText"/>
      </w:pPr>
      <w:r>
        <w:t xml:space="preserve"> </w:t>
      </w:r>
    </w:p>
    <w:p>
      <w:pPr>
        <w:pStyle w:val="Heading3"/>
      </w:pPr>
      <w:bookmarkStart w:id="36" w:name="perfomance"/>
      <w:r>
        <w:t xml:space="preserve">Perfomance</w:t>
      </w:r>
      <w:bookmarkEnd w:id="36"/>
    </w:p>
    <w:p>
      <w:pPr>
        <w:pStyle w:val="FirstParagraph"/>
      </w:pPr>
      <w:r>
        <w:t xml:space="preserve">Reduced noise, wear, and friction caused by brushes and Torque-Speed characteristics is linear.</w:t>
      </w:r>
      <w:r>
        <w:t xml:space="preserve">[</w:t>
      </w:r>
      <w:hyperlink w:anchor="ref-asada_direct-drive_1987">
        <w:r>
          <w:rPr>
            <w:rStyle w:val="Hyperlink"/>
          </w:rPr>
          <w:t xml:space="preserve">6</w:t>
        </w:r>
      </w:hyperlink>
      <w:r>
        <w:t xml:space="preserve">]</w:t>
      </w:r>
    </w:p>
    <w:p>
      <w:pPr>
        <w:pStyle w:val="BodyText"/>
      </w:pPr>
      <w:r>
        <w:t xml:space="preserve"> </w:t>
      </w:r>
    </w:p>
    <w:p>
      <w:pPr>
        <w:pStyle w:val="Heading3"/>
      </w:pPr>
      <w:bookmarkStart w:id="37" w:name="to-do"/>
      <w:r>
        <w:t xml:space="preserve">To Do</w:t>
      </w:r>
      <w:bookmarkEnd w:id="37"/>
    </w:p>
    <w:p>
      <w:pPr>
        <w:pStyle w:val="Compact"/>
        <w:numPr>
          <w:numId w:val="1006"/>
          <w:ilvl w:val="0"/>
        </w:numPr>
      </w:pPr>
      <w:r>
        <w:t xml:space="preserve">Finish 1.3.3 and 1.4.2 in</w:t>
      </w:r>
      <w:r>
        <w:t xml:space="preserve"> </w:t>
      </w:r>
      <w:r>
        <w:t xml:space="preserve">[</w:t>
      </w:r>
      <w:hyperlink w:anchor="ref-hendershot_design_2010">
        <w:r>
          <w:rPr>
            <w:rStyle w:val="Hyperlink"/>
          </w:rPr>
          <w:t xml:space="preserve">8</w:t>
        </w:r>
      </w:hyperlink>
      <w:r>
        <w:t xml:space="preserve">]</w:t>
      </w:r>
    </w:p>
    <w:p>
      <w:pPr>
        <w:pStyle w:val="Compact"/>
        <w:numPr>
          <w:numId w:val="1006"/>
          <w:ilvl w:val="0"/>
        </w:numPr>
      </w:pPr>
      <w:r>
        <w:t xml:space="preserve">Maxon Document</w:t>
      </w:r>
    </w:p>
    <w:p>
      <w:pPr>
        <w:pStyle w:val="Compact"/>
        <w:numPr>
          <w:numId w:val="1006"/>
          <w:ilvl w:val="0"/>
        </w:numPr>
      </w:pPr>
      <w:r>
        <w:t xml:space="preserve">Asuting BLDC chapter</w:t>
      </w:r>
    </w:p>
    <w:p>
      <w:pPr>
        <w:pStyle w:val="Compact"/>
        <w:numPr>
          <w:numId w:val="1006"/>
          <w:ilvl w:val="0"/>
        </w:numPr>
      </w:pPr>
      <w:r>
        <w:t xml:space="preserve">Focus on charcteristic section</w:t>
      </w:r>
    </w:p>
    <w:p>
      <w:pPr>
        <w:pStyle w:val="Compact"/>
        <w:numPr>
          <w:numId w:val="1006"/>
          <w:ilvl w:val="0"/>
        </w:numPr>
      </w:pPr>
      <w:r>
        <w:t xml:space="preserve">Finish the core vs corless section</w:t>
      </w:r>
    </w:p>
    <w:p>
      <w:pPr>
        <w:pStyle w:val="Compact"/>
        <w:numPr>
          <w:numId w:val="1006"/>
          <w:ilvl w:val="0"/>
        </w:numPr>
      </w:pPr>
      <w:r>
        <w:t xml:space="preserve">BLDC and chaos</w:t>
      </w:r>
    </w:p>
    <w:p>
      <w:pPr>
        <w:pStyle w:val="FirstParagraph"/>
      </w:pPr>
    </w:p>
    <w:p>
      <w:pPr>
        <w:pStyle w:val="Heading3"/>
      </w:pPr>
      <w:bookmarkStart w:id="38" w:name="references"/>
      <w:r>
        <w:t xml:space="preserve">References</w:t>
      </w:r>
      <w:bookmarkEnd w:id="38"/>
    </w:p>
    <w:bookmarkStart w:id="53" w:name="refs"/>
    <w:bookmarkStart w:id="40"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9">
        <w:r>
          <w:rPr>
            <w:rStyle w:val="Hyperlink"/>
          </w:rPr>
          <w:t xml:space="preserve">http://dspace.mit.edu/handle/1721.1/61599</w:t>
        </w:r>
      </w:hyperlink>
    </w:p>
    <w:bookmarkEnd w:id="40"/>
    <w:bookmarkStart w:id="42"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41">
        <w:r>
          <w:rPr>
            <w:rStyle w:val="Hyperlink"/>
          </w:rPr>
          <w:t xml:space="preserve">http://ieeexplore.ieee.org/document/6386252/</w:t>
        </w:r>
      </w:hyperlink>
      <w:r>
        <w:t xml:space="preserve">. [Accessed: 12-Sep-2018]</w:t>
      </w:r>
    </w:p>
    <w:bookmarkEnd w:id="42"/>
    <w:bookmarkStart w:id="43" w:name="ref-hughes_electric_2013"/>
    <w:p>
      <w:pPr>
        <w:pStyle w:val="Bibliography"/>
      </w:pPr>
      <w:r>
        <w:t xml:space="preserve">[3] A. Hughes,</w:t>
      </w:r>
      <w:r>
        <w:t xml:space="preserve"> </w:t>
      </w:r>
      <w:r>
        <w:rPr>
          <w:i/>
        </w:rPr>
        <w:t xml:space="preserve">Electric motors and drives: Fundamentals, types, and applications</w:t>
      </w:r>
      <w:r>
        <w:t xml:space="preserve">, Fourth Edition. Amsterdam: Elsevier/Newnes, 2013.</w:t>
      </w:r>
      <w:r>
        <w:t xml:space="preserve"> </w:t>
      </w:r>
    </w:p>
    <w:bookmarkEnd w:id="43"/>
    <w:bookmarkStart w:id="45" w:name="ref-kenneally_leg_2015"/>
    <w:p>
      <w:pPr>
        <w:pStyle w:val="Bibliography"/>
      </w:pPr>
      <w:r>
        <w:t xml:space="preserve">[4]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44">
        <w:r>
          <w:rPr>
            <w:rStyle w:val="Hyperlink"/>
          </w:rPr>
          <w:t xml:space="preserve">http://ieeexplore.ieee.org/document/7354188/</w:t>
        </w:r>
      </w:hyperlink>
      <w:r>
        <w:t xml:space="preserve">. [Accessed: 27-Sep-2018]</w:t>
      </w:r>
    </w:p>
    <w:bookmarkEnd w:id="45"/>
    <w:bookmarkStart w:id="46" w:name="ref-wensing_proprioceptive_2017"/>
    <w:p>
      <w:pPr>
        <w:pStyle w:val="Bibliography"/>
      </w:pPr>
      <w:r>
        <w:t xml:space="preserve">[5]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6"/>
    <w:bookmarkStart w:id="47" w:name="ref-asada_direct-drive_1987"/>
    <w:p>
      <w:pPr>
        <w:pStyle w:val="Bibliography"/>
      </w:pPr>
      <w:r>
        <w:t xml:space="preserve">[6] H. Asada and K. Youcef-Toumi,</w:t>
      </w:r>
      <w:r>
        <w:t xml:space="preserve"> </w:t>
      </w:r>
      <w:r>
        <w:rPr>
          <w:i/>
        </w:rPr>
        <w:t xml:space="preserve">Direct-drive robots: Theory and practice</w:t>
      </w:r>
      <w:r>
        <w:t xml:space="preserve">. Cambridge, Mass: MIT Press, 1987.</w:t>
      </w:r>
      <w:r>
        <w:t xml:space="preserve"> </w:t>
      </w:r>
    </w:p>
    <w:bookmarkEnd w:id="47"/>
    <w:bookmarkStart w:id="49" w:name="ref-kenneally_design_2016"/>
    <w:p>
      <w:pPr>
        <w:pStyle w:val="Bibliography"/>
      </w:pPr>
      <w:r>
        <w:t xml:space="preserve">[7]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48">
        <w:r>
          <w:rPr>
            <w:rStyle w:val="Hyperlink"/>
          </w:rPr>
          <w:t xml:space="preserve">http://ieeexplore.ieee.org/document/7403902/</w:t>
        </w:r>
      </w:hyperlink>
      <w:r>
        <w:t xml:space="preserve">. [Accessed: 12-Sep-2018]</w:t>
      </w:r>
    </w:p>
    <w:bookmarkEnd w:id="49"/>
    <w:bookmarkStart w:id="50" w:name="ref-hendershot_design_2010"/>
    <w:p>
      <w:pPr>
        <w:pStyle w:val="Bibliography"/>
      </w:pPr>
      <w:r>
        <w:t xml:space="preserve">[8] J. R. Hendershot and T. J. E. Miller,</w:t>
      </w:r>
      <w:r>
        <w:t xml:space="preserve"> </w:t>
      </w:r>
      <w:r>
        <w:rPr>
          <w:i/>
        </w:rPr>
        <w:t xml:space="preserve">Design of brushless permanent-magnet machines</w:t>
      </w:r>
      <w:r>
        <w:t xml:space="preserve">. Venice, Florida: Motor Design Books, 2010.</w:t>
      </w:r>
      <w:r>
        <w:t xml:space="preserve"> </w:t>
      </w:r>
    </w:p>
    <w:bookmarkEnd w:id="50"/>
    <w:bookmarkStart w:id="51" w:name="ref-kalouche_design_2016"/>
    <w:p>
      <w:pPr>
        <w:pStyle w:val="Bibliography"/>
      </w:pPr>
      <w:r>
        <w:t xml:space="preserve">[9] S. Kalouche, “Design for 3d Agility and Virtual Compliance Using Proprioceptive Force Control in Dynamic Legged Robots,” PhD thesis, Carnegie Mellon University, 2016.</w:t>
      </w:r>
      <w:r>
        <w:t xml:space="preserve"> </w:t>
      </w:r>
    </w:p>
    <w:bookmarkEnd w:id="51"/>
    <w:bookmarkStart w:id="52" w:name="ref-mason_compliance_1981"/>
    <w:p>
      <w:pPr>
        <w:pStyle w:val="Bibliography"/>
      </w:pPr>
      <w:r>
        <w:t xml:space="preserve">[10]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511">
    <w:nsid w:val="71315dca"/>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lowerRoman"/>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2" Target="media/rId2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hyperlink" Id="rId39" Target="http://dspace.mit.edu/handle/1721.1/61599" TargetMode="External" /><Relationship Type="http://schemas.openxmlformats.org/officeDocument/2006/relationships/hyperlink" Id="rId41" Target="http://ieeexplore.ieee.org/document/6386252/" TargetMode="External" /><Relationship Type="http://schemas.openxmlformats.org/officeDocument/2006/relationships/hyperlink" Id="rId44" Target="http://ieeexplore.ieee.org/document/7354188/" TargetMode="External" /><Relationship Type="http://schemas.openxmlformats.org/officeDocument/2006/relationships/hyperlink" Id="rId48"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39" Target="http://dspace.mit.edu/handle/1721.1/61599" TargetMode="External" /><Relationship Type="http://schemas.openxmlformats.org/officeDocument/2006/relationships/hyperlink" Id="rId41" Target="http://ieeexplore.ieee.org/document/6386252/" TargetMode="External" /><Relationship Type="http://schemas.openxmlformats.org/officeDocument/2006/relationships/hyperlink" Id="rId44" Target="http://ieeexplore.ieee.org/document/7354188/" TargetMode="External" /><Relationship Type="http://schemas.openxmlformats.org/officeDocument/2006/relationships/hyperlink" Id="rId48"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of PMSM/BLDC Motor: Design, Dynamics, Drive</dc:title>
  <dc:creator>Ajay G</dc:creator>
  <cp:keywords/>
  <dcterms:created xsi:type="dcterms:W3CDTF">2018-11-11T14:55:47Z</dcterms:created>
  <dcterms:modified xsi:type="dcterms:W3CDTF">2018-11-11T14:55:47Z</dcterms:modified>
</cp:coreProperties>
</file>