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w:t>
      </w:r>
      <w:r>
        <w:t xml:space="preserve"> </w:t>
      </w:r>
      <w:r>
        <w:t xml:space="preserve">Dynamics,</w:t>
      </w:r>
      <w:r>
        <w:t xml:space="preserve"> </w:t>
      </w:r>
      <w:r>
        <w:t xml:space="preserve">Drive</w:t>
      </w:r>
      <w:r>
        <w:t xml:space="preserve"> </w:t>
      </w:r>
      <w:r>
        <w:t xml:space="preserve">of</w:t>
      </w:r>
      <w:r>
        <w:t xml:space="preserve"> </w:t>
      </w:r>
      <w:r>
        <w:t xml:space="preserve">BLDC</w:t>
      </w:r>
      <w:r>
        <w:t xml:space="preserve"> </w:t>
      </w:r>
      <w:r>
        <w:t xml:space="preserve">Motor</w:t>
      </w:r>
    </w:p>
    <w:p>
      <w:pPr>
        <w:pStyle w:val="Heading2"/>
      </w:pPr>
      <w:bookmarkStart w:id="20" w:name="why-bldc"/>
      <w:r>
        <w:t xml:space="preserve">Why BLDC ?</w:t>
      </w:r>
      <w:bookmarkEnd w:id="20"/>
    </w:p>
    <w:p>
      <w:pPr>
        <w:pStyle w:val="FirstParagraph"/>
      </w:pPr>
      <w:r>
        <w:t xml:space="preserve">High energy efficiency</w:t>
      </w:r>
      <w:r>
        <w:t xml:space="preserve"> </w:t>
      </w:r>
      <w:r>
        <w:t xml:space="preserve">High Power to Weight ratio</w:t>
      </w:r>
      <w:r>
        <w:t xml:space="preserve"> </w:t>
      </w:r>
      <w:r>
        <w:t xml:space="preserve">Quick dynamic respone</w:t>
      </w:r>
    </w:p>
    <w:p>
      <w:pPr>
        <w:pStyle w:val="Heading2"/>
      </w:pPr>
      <w:bookmarkStart w:id="21" w:name="design"/>
      <w:r>
        <w:t xml:space="preserve">Design</w:t>
      </w:r>
      <w:bookmarkEnd w:id="21"/>
    </w:p>
    <w:p>
      <w:pPr>
        <w:pStyle w:val="Heading4"/>
      </w:pPr>
      <w:bookmarkStart w:id="22" w:name="basic-terminology"/>
      <w:r>
        <w:t xml:space="preserve">Basic Terminology</w:t>
      </w:r>
      <w:bookmarkEnd w:id="22"/>
    </w:p>
    <w:p>
      <w:pPr>
        <w:pStyle w:val="CaptionedFigure"/>
      </w:pPr>
      <w:r>
        <w:drawing>
          <wp:inline>
            <wp:extent cx="5334000" cy="2739360"/>
            <wp:effectExtent b="0" l="0" r="0" t="0"/>
            <wp:docPr descr="Stator &amp; Rotor, Source:[1]" title="" id="1" name="Picture"/>
            <a:graphic>
              <a:graphicData uri="http://schemas.openxmlformats.org/drawingml/2006/picture">
                <pic:pic>
                  <pic:nvPicPr>
                    <pic:cNvPr descr="https://ajaygunalan.github.io/projects/asset/motor/motor_1.png" id="0" name="Picture"/>
                    <pic:cNvPicPr>
                      <a:picLocks noChangeArrowheads="1" noChangeAspect="1"/>
                    </pic:cNvPicPr>
                  </pic:nvPicPr>
                  <pic:blipFill>
                    <a:blip r:embed="rId23"/>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pPr>
      <w:r>
        <w:t xml:space="preserve">Stator &amp; Rotor, Source:</w:t>
      </w:r>
      <w:r>
        <w:t xml:space="preserve">[</w:t>
      </w:r>
      <w:hyperlink w:anchor="ref-colton_design_2010">
        <w:r>
          <w:rPr>
            <w:rStyle w:val="Hyperlink"/>
          </w:rPr>
          <w:t xml:space="preserve">1</w:t>
        </w:r>
      </w:hyperlink>
      <w:r>
        <w:t xml:space="preserve">]</w:t>
      </w:r>
    </w:p>
    <w:p>
      <w:pPr>
        <w:pStyle w:val="CaptionedFigure"/>
      </w:pPr>
      <w:r>
        <w:drawing>
          <wp:inline>
            <wp:extent cx="5334000" cy="3871033"/>
            <wp:effectExtent b="0" l="0" r="0" t="0"/>
            <wp:docPr descr="Tooth &amp; Slot, Source:[1]" title="" id="1" name="Picture"/>
            <a:graphic>
              <a:graphicData uri="http://schemas.openxmlformats.org/drawingml/2006/picture">
                <pic:pic>
                  <pic:nvPicPr>
                    <pic:cNvPr descr="https://ajaygunalan.github.io/projects/asset/motor/motor_2.png" id="0" name="Picture"/>
                    <pic:cNvPicPr>
                      <a:picLocks noChangeArrowheads="1" noChangeAspect="1"/>
                    </pic:cNvPicPr>
                  </pic:nvPicPr>
                  <pic:blipFill>
                    <a:blip r:embed="rId24"/>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pPr>
      <w:r>
        <w:t xml:space="preserve">Tooth &amp; Slot, Source:</w:t>
      </w:r>
      <w:r>
        <w:t xml:space="preserve">[</w:t>
      </w:r>
      <w:hyperlink w:anchor="ref-colton_design_2010">
        <w:r>
          <w:rPr>
            <w:rStyle w:val="Hyperlink"/>
          </w:rPr>
          <w:t xml:space="preserve">1</w:t>
        </w:r>
      </w:hyperlink>
      <w:r>
        <w:t xml:space="preserve">]</w:t>
      </w:r>
    </w:p>
    <w:p>
      <w:pPr>
        <w:pStyle w:val="Heading4"/>
      </w:pPr>
      <w:bookmarkStart w:id="25" w:name="air-gap"/>
      <w:r>
        <w:t xml:space="preserve">Air Gap</w:t>
      </w:r>
      <w:bookmarkEnd w:id="25"/>
    </w:p>
    <w:p>
      <w:pPr>
        <w:pStyle w:val="Heading4"/>
      </w:pPr>
      <w:bookmarkStart w:id="26" w:name="slot"/>
      <w:r>
        <w:t xml:space="preserve">Slot</w:t>
      </w:r>
      <w:bookmarkEnd w:id="26"/>
    </w:p>
    <w:p>
      <w:pPr>
        <w:pStyle w:val="Heading4"/>
      </w:pPr>
      <w:bookmarkStart w:id="27" w:name="winding-configuration"/>
      <w:r>
        <w:t xml:space="preserve">Winding Configuration</w:t>
      </w:r>
      <w:bookmarkEnd w:id="27"/>
    </w:p>
    <w:p>
      <w:pPr>
        <w:pStyle w:val="FirstParagraph"/>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pStyle w:val="Heading2"/>
      </w:pPr>
      <w:bookmarkStart w:id="28" w:name="dynamics"/>
      <w:r>
        <w:t xml:space="preserve">Dynamics</w:t>
      </w:r>
      <w:bookmarkEnd w:id="28"/>
    </w:p>
    <w:p>
      <w:pPr>
        <w:pStyle w:val="Heading2"/>
      </w:pPr>
      <w:bookmarkStart w:id="29" w:name="drive"/>
      <w:r>
        <w:t xml:space="preserve">Drive</w:t>
      </w:r>
      <w:bookmarkEnd w:id="29"/>
    </w:p>
    <w:p>
      <w:pPr>
        <w:pStyle w:val="FirstParagraph"/>
      </w:pPr>
      <w:r>
        <w:t xml:space="preserve">Simon has done the gr8 job. what he does is actually amazing.</w:t>
      </w:r>
      <w:r>
        <w:t xml:space="preserve"> </w:t>
      </w:r>
      <w:r>
        <w:t xml:space="preserve">[</w:t>
      </w:r>
      <w:hyperlink w:anchor="ref-kalouche_design_2016">
        <w:r>
          <w:rPr>
            <w:rStyle w:val="Hyperlink"/>
          </w:rPr>
          <w:t xml:space="preserve">2</w:t>
        </w:r>
      </w:hyperlink>
      <w:r>
        <w:t xml:space="preserve">]</w:t>
      </w:r>
      <w:r>
        <w:t xml:space="preserve"> </w:t>
      </w:r>
      <w:r>
        <w:t xml:space="preserve">This is proper documentation</w:t>
      </w:r>
    </w:p>
    <w:p>
      <w:pPr>
        <w:pStyle w:val="BodyText"/>
      </w:pPr>
      <w:r>
        <w:t xml:space="preserve">His work was based on condition.</w:t>
      </w:r>
      <w:r>
        <w:t xml:space="preserve">[</w:t>
      </w:r>
      <w:hyperlink w:anchor="ref-colton_design_2010">
        <w:r>
          <w:rPr>
            <w:rStyle w:val="Hyperlink"/>
          </w:rPr>
          <w:t xml:space="preserve">1</w:t>
        </w:r>
      </w:hyperlink>
      <w:r>
        <w:t xml:space="preserve">]</w:t>
      </w:r>
    </w:p>
    <w:p>
      <w:pPr>
        <w:pStyle w:val="BodyText"/>
      </w:pPr>
      <m:oMathPara>
        <m:oMathParaPr>
          <m:jc m:val="center"/>
        </m:oMathParaPr>
        <m:oMath>
          <m:f>
            <m:fPr>
              <m:type m:val="bar"/>
            </m:fPr>
            <m:num>
              <m:r>
                <m:t>∂</m:t>
              </m:r>
              <m:groupChr>
                <m:groupChrPr>
                  <m:chr m:val="⃗"/>
                  <m:pos m:val="top"/>
                  <m:vertJc m:val="bot"/>
                </m:groupChrPr>
                <m:e>
                  <m:r>
                    <m:t>u</m:t>
                  </m:r>
                </m:e>
              </m:groupChr>
            </m:num>
            <m:den>
              <m:r>
                <m:t>∂</m:t>
              </m:r>
              <m:r>
                <m:t>t</m:t>
              </m:r>
            </m:den>
          </m:f>
          <m:r>
            <m:t>+</m:t>
          </m:r>
          <m:r>
            <m:t>(</m:t>
          </m:r>
          <m:groupChr>
            <m:groupChrPr>
              <m:chr m:val="⃗"/>
              <m:pos m:val="top"/>
              <m:vertJc m:val="bot"/>
            </m:groupChrPr>
            <m:e>
              <m:r>
                <m:t>u</m:t>
              </m:r>
            </m:e>
          </m:groupChr>
          <m:r>
            <m:t>⋅</m:t>
          </m:r>
          <m:r>
            <m:t>∇</m:t>
          </m:r>
          <m:r>
            <m:t>)</m:t>
          </m:r>
          <m:groupChr>
            <m:groupChrPr>
              <m:chr m:val="⃗"/>
              <m:pos m:val="top"/>
              <m:vertJc m:val="bot"/>
            </m:groupChrPr>
            <m:e>
              <m:r>
                <m:t>u</m:t>
              </m:r>
            </m:e>
          </m:groupChr>
          <m:r>
            <m:t>=</m:t>
          </m:r>
          <m:r>
            <m:t>−</m:t>
          </m:r>
          <m:f>
            <m:fPr>
              <m:type m:val="bar"/>
            </m:fPr>
            <m:num>
              <m:r>
                <m:t>1</m:t>
              </m:r>
            </m:num>
            <m:den>
              <m:r>
                <m:t>ρ</m:t>
              </m:r>
            </m:den>
          </m:f>
          <m:r>
            <m:t>∇</m:t>
          </m:r>
          <m:r>
            <m:t>p</m:t>
          </m:r>
          <m:r>
            <m:t>+</m:t>
          </m:r>
          <m:r>
            <m:t>∇</m:t>
          </m:r>
          <m:r>
            <m:t>σ</m:t>
          </m:r>
          <m:r>
            <m:t>+</m:t>
          </m:r>
          <m:groupChr>
            <m:groupChrPr>
              <m:chr m:val="⃗"/>
              <m:pos m:val="top"/>
              <m:vertJc m:val="bot"/>
            </m:groupChrPr>
            <m:e>
              <m:r>
                <m:t>f</m:t>
              </m:r>
            </m:e>
          </m:groupChr>
        </m:oMath>
      </m:oMathPara>
    </w:p>
    <w:p>
      <w:pPr>
        <w:pStyle w:val="FirstParagraph"/>
      </w:pPr>
      <m:oMathPara>
        <m:oMathParaPr>
          <m:jc m:val="center"/>
        </m:oMathParaPr>
        <m:oMath>
          <m:f>
            <m:fPr>
              <m:type m:val="bar"/>
            </m:fPr>
            <m:num>
              <m:r>
                <m:t>∂</m:t>
              </m:r>
              <m:r>
                <m:t>ρ</m:t>
              </m:r>
            </m:num>
            <m:den>
              <m:r>
                <m:t>∂</m:t>
              </m:r>
              <m:r>
                <m:t>t</m:t>
              </m:r>
            </m:den>
          </m:f>
          <m:r>
            <m:t>+</m:t>
          </m:r>
          <m:r>
            <m:t>∇</m:t>
          </m:r>
          <m:r>
            <m:t>⋅</m:t>
          </m:r>
          <m:r>
            <m:t>(</m:t>
          </m:r>
          <m:r>
            <m:t>ρ</m:t>
          </m:r>
          <m:groupChr>
            <m:groupChrPr>
              <m:chr m:val="⃗"/>
              <m:pos m:val="top"/>
              <m:vertJc m:val="bot"/>
            </m:groupChrPr>
            <m:e>
              <m:r>
                <m:t>u</m:t>
              </m:r>
            </m:e>
          </m:groupChr>
          <m:r>
            <m:t>)</m:t>
          </m:r>
          <m:r>
            <m:t>=</m:t>
          </m:r>
          <m:r>
            <m:t>0</m:t>
          </m:r>
        </m:oMath>
      </m:oMathPara>
    </w:p>
    <w:p>
      <w:pPr>
        <w:pStyle w:val="FirstParagraph"/>
      </w:pPr>
      <w:r>
        <w:t xml:space="preserve">Testing whether it works..!</w:t>
      </w:r>
    </w:p>
    <w:p>
      <w:pPr>
        <w:pStyle w:val="Heading2"/>
      </w:pPr>
      <w:bookmarkStart w:id="30" w:name="references"/>
      <w:r>
        <w:t xml:space="preserve">References</w:t>
      </w:r>
      <w:bookmarkEnd w:id="30"/>
    </w:p>
    <w:bookmarkStart w:id="34" w:name="refs"/>
    <w:bookmarkStart w:id="32" w:name="ref-colton_design_2010"/>
    <w:p>
      <w:pPr>
        <w:pStyle w:val="Bibliography"/>
      </w:pPr>
      <w:r>
        <w:t xml:space="preserve">[1] S. W. Colton, “Design and prototyping methods for brushless motors and motor control,” Masters Thesis, Massachusetts Institute of Technology, 2010 [Online]. Available:</w:t>
      </w:r>
      <w:r>
        <w:t xml:space="preserve"> </w:t>
      </w:r>
      <w:hyperlink r:id="rId31">
        <w:r>
          <w:rPr>
            <w:rStyle w:val="Hyperlink"/>
          </w:rPr>
          <w:t xml:space="preserve">http://dspace.mit.edu/handle/1721.1/61599</w:t>
        </w:r>
      </w:hyperlink>
    </w:p>
    <w:bookmarkEnd w:id="32"/>
    <w:bookmarkStart w:id="33" w:name="ref-kalouche_design_2016"/>
    <w:p>
      <w:pPr>
        <w:pStyle w:val="Bibliography"/>
      </w:pPr>
      <w:r>
        <w:t xml:space="preserve">[2] S. Kalouche, “Design for 3d agility and virtual compliance using proprioceptive force control in dynamic legged robots,” Masters Thesis, Carnegie Mellon University, 2016.</w:t>
      </w:r>
      <w:r>
        <w:t xml:space="preserve"> </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4" Target="media/rId24.png" /><Relationship Type="http://schemas.openxmlformats.org/officeDocument/2006/relationships/hyperlink" Id="rId31"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1"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Dynamics, Drive of BLDC Motor</dc:title>
  <dc:creator/>
  <cp:keywords/>
  <dcterms:created xsi:type="dcterms:W3CDTF">2018-09-18T12:34:58Z</dcterms:created>
  <dcterms:modified xsi:type="dcterms:W3CDTF">2018-09-18T12:34:58Z</dcterms:modified>
</cp:coreProperties>
</file>