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w:t>
      </w:r>
      <w:r>
        <w:t xml:space="preserve"> </w:t>
      </w:r>
      <w:r>
        <w:t xml:space="preserve">Dynamics,</w:t>
      </w:r>
      <w:r>
        <w:t xml:space="preserve"> </w:t>
      </w:r>
      <w:r>
        <w:t xml:space="preserve">Drive</w:t>
      </w:r>
      <w:r>
        <w:t xml:space="preserve"> </w:t>
      </w:r>
      <w:r>
        <w:t xml:space="preserve">of</w:t>
      </w:r>
      <w:r>
        <w:t xml:space="preserve"> </w:t>
      </w:r>
      <w:r>
        <w:t xml:space="preserve">BLDC</w:t>
      </w:r>
      <w:r>
        <w:t xml:space="preserve"> </w:t>
      </w:r>
      <w:r>
        <w:t xml:space="preserve">Motor</w:t>
      </w:r>
    </w:p>
    <w:p>
      <w:pPr>
        <w:pStyle w:val="Author"/>
      </w:pPr>
      <w:r>
        <w:t xml:space="preserve">Ajay</w:t>
      </w:r>
      <w:r>
        <w:t xml:space="preserve"> </w:t>
      </w:r>
      <w:r>
        <w:t xml:space="preserve">G</w:t>
      </w:r>
    </w:p>
    <w:p>
      <w:pPr>
        <w:pStyle w:val="Date"/>
      </w:pPr>
      <w:r>
        <w:t xml:space="preserve">August</w:t>
      </w:r>
      <w:r>
        <w:t xml:space="preserve"> </w:t>
      </w:r>
      <w:r>
        <w:t xml:space="preserve">24,</w:t>
      </w:r>
      <w:r>
        <w:t xml:space="preserve"> </w:t>
      </w:r>
      <w:r>
        <w:t xml:space="preserve">2018</w:t>
      </w:r>
    </w:p>
    <w:p>
      <w:pPr>
        <w:pStyle w:val="Heading2"/>
      </w:pPr>
      <w:bookmarkStart w:id="20" w:name="why-bldc"/>
      <w:r>
        <w:t xml:space="preserve">Why BLDC ?</w:t>
      </w:r>
      <w:bookmarkEnd w:id="20"/>
    </w:p>
    <w:p>
      <w:pPr>
        <w:pStyle w:val="FirstParagraph"/>
      </w:pPr>
      <w:r>
        <w:t xml:space="preserve">High energy efficiency</w:t>
      </w:r>
      <w:r>
        <w:t xml:space="preserve"> </w:t>
      </w:r>
      <w:r>
        <w:t xml:space="preserve">High Power to Weight ratio</w:t>
      </w:r>
      <w:r>
        <w:t xml:space="preserve"> </w:t>
      </w:r>
      <w:r>
        <w:t xml:space="preserve">Quick dynamic respone</w:t>
      </w:r>
    </w:p>
    <w:p>
      <w:pPr>
        <w:pStyle w:val="Heading2"/>
      </w:pPr>
      <w:bookmarkStart w:id="21" w:name="design"/>
      <w:r>
        <w:t xml:space="preserve">Design</w:t>
      </w:r>
      <w:bookmarkEnd w:id="21"/>
    </w:p>
    <w:p>
      <w:pPr>
        <w:pStyle w:val="Heading4"/>
      </w:pPr>
      <w:bookmarkStart w:id="22" w:name="basic-terminology"/>
      <w:r>
        <w:t xml:space="preserve">Basic Terminology</w:t>
      </w:r>
      <w:bookmarkEnd w:id="22"/>
    </w:p>
    <w:p>
      <w:pPr>
        <w:pStyle w:val="CaptionedFigure"/>
      </w:pPr>
      <w:r>
        <w:drawing>
          <wp:inline>
            <wp:extent cx="5334000" cy="2739360"/>
            <wp:effectExtent b="0" l="0" r="0" t="0"/>
            <wp:docPr descr="Stator &amp; Rotor, Source:[1]" title="" id="1" name="Picture"/>
            <a:graphic>
              <a:graphicData uri="http://schemas.openxmlformats.org/drawingml/2006/picture">
                <pic:pic>
                  <pic:nvPicPr>
                    <pic:cNvPr descr="https://ajaygunalan.github.io/projects/asset/motor/motor_1.png" id="0" name="Picture"/>
                    <pic:cNvPicPr>
                      <a:picLocks noChangeArrowheads="1" noChangeAspect="1"/>
                    </pic:cNvPicPr>
                  </pic:nvPicPr>
                  <pic:blipFill>
                    <a:blip r:embed="rId23"/>
                    <a:stretch>
                      <a:fillRect/>
                    </a:stretch>
                  </pic:blipFill>
                  <pic:spPr bwMode="auto">
                    <a:xfrm>
                      <a:off x="0" y="0"/>
                      <a:ext cx="5334000" cy="2739360"/>
                    </a:xfrm>
                    <a:prstGeom prst="rect">
                      <a:avLst/>
                    </a:prstGeom>
                    <a:noFill/>
                    <a:ln w="9525">
                      <a:noFill/>
                      <a:headEnd/>
                      <a:tailEnd/>
                    </a:ln>
                  </pic:spPr>
                </pic:pic>
              </a:graphicData>
            </a:graphic>
          </wp:inline>
        </w:drawing>
      </w:r>
    </w:p>
    <w:p>
      <w:pPr>
        <w:pStyle w:val="ImageCaption"/>
      </w:pPr>
      <w:r>
        <w:t xml:space="preserve">Stator &amp; Rotor, Source:</w:t>
      </w:r>
      <w:r>
        <w:t xml:space="preserve">[</w:t>
      </w:r>
      <w:hyperlink w:anchor="ref-colton_design_2010">
        <w:r>
          <w:rPr>
            <w:rStyle w:val="Hyperlink"/>
          </w:rPr>
          <w:t xml:space="preserve">1</w:t>
        </w:r>
      </w:hyperlink>
      <w:r>
        <w:t xml:space="preserve">]</w:t>
      </w:r>
    </w:p>
    <w:p>
      <w:pPr>
        <w:pStyle w:val="CaptionedFigure"/>
      </w:pPr>
      <w:r>
        <w:drawing>
          <wp:inline>
            <wp:extent cx="5334000" cy="3871033"/>
            <wp:effectExtent b="0" l="0" r="0" t="0"/>
            <wp:docPr descr="Tooth &amp; Slot, Source:[1]" title="" id="1" name="Picture"/>
            <a:graphic>
              <a:graphicData uri="http://schemas.openxmlformats.org/drawingml/2006/picture">
                <pic:pic>
                  <pic:nvPicPr>
                    <pic:cNvPr descr="https://ajaygunalan.github.io/projects/asset/motor/motor_2.png" id="0" name="Picture"/>
                    <pic:cNvPicPr>
                      <a:picLocks noChangeArrowheads="1" noChangeAspect="1"/>
                    </pic:cNvPicPr>
                  </pic:nvPicPr>
                  <pic:blipFill>
                    <a:blip r:embed="rId24"/>
                    <a:stretch>
                      <a:fillRect/>
                    </a:stretch>
                  </pic:blipFill>
                  <pic:spPr bwMode="auto">
                    <a:xfrm>
                      <a:off x="0" y="0"/>
                      <a:ext cx="5334000" cy="3871033"/>
                    </a:xfrm>
                    <a:prstGeom prst="rect">
                      <a:avLst/>
                    </a:prstGeom>
                    <a:noFill/>
                    <a:ln w="9525">
                      <a:noFill/>
                      <a:headEnd/>
                      <a:tailEnd/>
                    </a:ln>
                  </pic:spPr>
                </pic:pic>
              </a:graphicData>
            </a:graphic>
          </wp:inline>
        </w:drawing>
      </w:r>
    </w:p>
    <w:p>
      <w:pPr>
        <w:pStyle w:val="ImageCaption"/>
      </w:pPr>
      <w:r>
        <w:t xml:space="preserve">Tooth &amp; Slot, Source:</w:t>
      </w:r>
      <w:r>
        <w:t xml:space="preserve">[</w:t>
      </w:r>
      <w:hyperlink w:anchor="ref-colton_design_2010">
        <w:r>
          <w:rPr>
            <w:rStyle w:val="Hyperlink"/>
          </w:rPr>
          <w:t xml:space="preserve">1</w:t>
        </w:r>
      </w:hyperlink>
      <w:r>
        <w:t xml:space="preserve">]</w:t>
      </w:r>
    </w:p>
    <w:p>
      <w:pPr>
        <w:pStyle w:val="Heading4"/>
      </w:pPr>
      <w:bookmarkStart w:id="25" w:name="air-gap"/>
      <w:r>
        <w:t xml:space="preserve">Air Gap</w:t>
      </w:r>
      <w:bookmarkEnd w:id="25"/>
    </w:p>
    <w:p>
      <w:pPr>
        <w:pStyle w:val="Heading4"/>
      </w:pPr>
      <w:bookmarkStart w:id="26" w:name="slot"/>
      <w:r>
        <w:t xml:space="preserve">Slot</w:t>
      </w:r>
      <w:bookmarkEnd w:id="26"/>
    </w:p>
    <w:p>
      <w:pPr>
        <w:pStyle w:val="Heading4"/>
      </w:pPr>
      <w:bookmarkStart w:id="27" w:name="winding-configuration"/>
      <w:r>
        <w:t xml:space="preserve">Winding Configuration</w:t>
      </w:r>
      <w:bookmarkEnd w:id="27"/>
    </w:p>
    <w:p>
      <w:pPr>
        <w:pStyle w:val="FirstParagraph"/>
      </w:pPr>
      <w:r>
        <w:t xml:space="preserve">They have three phase windings and can be connected to each other in wye or delta configuration. Wye has higher torque (theoretically torque constant is greater by a factor</w:t>
      </w:r>
      <w:r>
        <w:t xml:space="preserve"> </w:t>
      </w:r>
      <m:oMath>
        <m:rad>
          <m:radPr>
            <m:degHide m:val="1"/>
          </m:radPr>
          <m:deg/>
          <m:e>
            <m:r>
              <m:t>3</m:t>
            </m:r>
          </m:e>
        </m:rad>
      </m:oMath>
      <w:r>
        <w:t xml:space="preserve"> </w:t>
      </w:r>
      <w:r>
        <w:t xml:space="preserve">[</w:t>
      </w:r>
      <w:hyperlink w:anchor="ref-kalouche_design_2016">
        <w:r>
          <w:rPr>
            <w:rStyle w:val="Hyperlink"/>
          </w:rPr>
          <w:t xml:space="preserve">2</w:t>
        </w:r>
      </w:hyperlink>
      <w:r>
        <w:t xml:space="preserve">, p. 25]</w:t>
      </w:r>
      <w:r>
        <w:t xml:space="preserve">) because in the wye configuration, at any time one of phase is open and other two-phase are in series thus equal current flows through them whereas in delta it gets divided into two phases. Thus more current in each phase causes more torque, one will push and another phase will pull in the wye configuration.</w:t>
      </w:r>
    </w:p>
    <w:p>
      <w:pPr>
        <w:pStyle w:val="Heading2"/>
      </w:pPr>
      <w:bookmarkStart w:id="28" w:name="dynamics"/>
      <w:r>
        <w:t xml:space="preserve">Dynamics</w:t>
      </w:r>
      <w:bookmarkEnd w:id="28"/>
    </w:p>
    <w:p>
      <w:pPr>
        <w:pStyle w:val="Heading2"/>
      </w:pPr>
      <w:bookmarkStart w:id="29" w:name="drive"/>
      <w:r>
        <w:t xml:space="preserve">Drive</w:t>
      </w:r>
      <w:bookmarkEnd w:id="29"/>
    </w:p>
    <w:p>
      <w:pPr>
        <w:pStyle w:val="FirstParagraph"/>
      </w:pPr>
      <w:r>
        <w:t xml:space="preserve">Simon has done the gr8 job. what he does is actually amazing.</w:t>
      </w:r>
      <w:r>
        <w:t xml:space="preserve"> </w:t>
      </w:r>
      <w:r>
        <w:t xml:space="preserve">[</w:t>
      </w:r>
      <w:hyperlink w:anchor="ref-kalouche_design_2016">
        <w:r>
          <w:rPr>
            <w:rStyle w:val="Hyperlink"/>
          </w:rPr>
          <w:t xml:space="preserve">2</w:t>
        </w:r>
      </w:hyperlink>
      <w:r>
        <w:t xml:space="preserve">]</w:t>
      </w:r>
      <w:r>
        <w:t xml:space="preserve"> </w:t>
      </w:r>
      <w:r>
        <w:t xml:space="preserve">This is proper documentation</w:t>
      </w:r>
    </w:p>
    <w:p>
      <w:pPr>
        <w:pStyle w:val="BodyText"/>
      </w:pPr>
      <w:r>
        <w:t xml:space="preserve">His work was based on condition.</w:t>
      </w:r>
      <w:r>
        <w:t xml:space="preserve">[</w:t>
      </w:r>
      <w:hyperlink w:anchor="ref-colton_design_2010">
        <w:r>
          <w:rPr>
            <w:rStyle w:val="Hyperlink"/>
          </w:rPr>
          <w:t xml:space="preserve">1</w:t>
        </w:r>
      </w:hyperlink>
      <w:r>
        <w:t xml:space="preserve">]</w:t>
      </w:r>
    </w:p>
    <w:p>
      <w:pPr>
        <w:pStyle w:val="BodyText"/>
      </w:pPr>
      <m:oMathPara>
        <m:oMathParaPr>
          <m:jc m:val="center"/>
        </m:oMathParaPr>
        <m:oMath>
          <m:f>
            <m:fPr>
              <m:type m:val="bar"/>
            </m:fPr>
            <m:num>
              <m:r>
                <m:t>∂</m:t>
              </m:r>
              <m:groupChr>
                <m:groupChrPr>
                  <m:chr m:val="⃗"/>
                  <m:pos m:val="top"/>
                  <m:vertJc m:val="bot"/>
                </m:groupChrPr>
                <m:e>
                  <m:r>
                    <m:t>u</m:t>
                  </m:r>
                </m:e>
              </m:groupChr>
            </m:num>
            <m:den>
              <m:r>
                <m:t>∂</m:t>
              </m:r>
              <m:r>
                <m:t>t</m:t>
              </m:r>
            </m:den>
          </m:f>
          <m:r>
            <m:t>+</m:t>
          </m:r>
          <m:r>
            <m:t>(</m:t>
          </m:r>
          <m:groupChr>
            <m:groupChrPr>
              <m:chr m:val="⃗"/>
              <m:pos m:val="top"/>
              <m:vertJc m:val="bot"/>
            </m:groupChrPr>
            <m:e>
              <m:r>
                <m:t>u</m:t>
              </m:r>
            </m:e>
          </m:groupChr>
          <m:r>
            <m:t>⋅</m:t>
          </m:r>
          <m:r>
            <m:t>∇</m:t>
          </m:r>
          <m:r>
            <m:t>)</m:t>
          </m:r>
          <m:groupChr>
            <m:groupChrPr>
              <m:chr m:val="⃗"/>
              <m:pos m:val="top"/>
              <m:vertJc m:val="bot"/>
            </m:groupChrPr>
            <m:e>
              <m:r>
                <m:t>u</m:t>
              </m:r>
            </m:e>
          </m:groupChr>
          <m:r>
            <m:t>=</m:t>
          </m:r>
          <m:r>
            <m:t>−</m:t>
          </m:r>
          <m:f>
            <m:fPr>
              <m:type m:val="bar"/>
            </m:fPr>
            <m:num>
              <m:r>
                <m:t>1</m:t>
              </m:r>
            </m:num>
            <m:den>
              <m:r>
                <m:t>ρ</m:t>
              </m:r>
            </m:den>
          </m:f>
          <m:r>
            <m:t>∇</m:t>
          </m:r>
          <m:r>
            <m:t>p</m:t>
          </m:r>
          <m:r>
            <m:t>+</m:t>
          </m:r>
          <m:r>
            <m:t>∇</m:t>
          </m:r>
          <m:r>
            <m:t>σ</m:t>
          </m:r>
          <m:r>
            <m:t>+</m:t>
          </m:r>
          <m:groupChr>
            <m:groupChrPr>
              <m:chr m:val="⃗"/>
              <m:pos m:val="top"/>
              <m:vertJc m:val="bot"/>
            </m:groupChrPr>
            <m:e>
              <m:r>
                <m:t>f</m:t>
              </m:r>
            </m:e>
          </m:groupChr>
        </m:oMath>
      </m:oMathPara>
    </w:p>
    <w:p>
      <w:pPr>
        <w:pStyle w:val="FirstParagraph"/>
      </w:pPr>
      <m:oMathPara>
        <m:oMathParaPr>
          <m:jc m:val="center"/>
        </m:oMathParaPr>
        <m:oMath>
          <m:f>
            <m:fPr>
              <m:type m:val="bar"/>
            </m:fPr>
            <m:num>
              <m:r>
                <m:t>∂</m:t>
              </m:r>
              <m:r>
                <m:t>ρ</m:t>
              </m:r>
            </m:num>
            <m:den>
              <m:r>
                <m:t>∂</m:t>
              </m:r>
              <m:r>
                <m:t>t</m:t>
              </m:r>
            </m:den>
          </m:f>
          <m:r>
            <m:t>+</m:t>
          </m:r>
          <m:r>
            <m:t>∇</m:t>
          </m:r>
          <m:r>
            <m:t>⋅</m:t>
          </m:r>
          <m:r>
            <m:t>(</m:t>
          </m:r>
          <m:r>
            <m:t>ρ</m:t>
          </m:r>
          <m:groupChr>
            <m:groupChrPr>
              <m:chr m:val="⃗"/>
              <m:pos m:val="top"/>
              <m:vertJc m:val="bot"/>
            </m:groupChrPr>
            <m:e>
              <m:r>
                <m:t>u</m:t>
              </m:r>
            </m:e>
          </m:groupChr>
          <m:r>
            <m:t>)</m:t>
          </m:r>
          <m:r>
            <m:t>=</m:t>
          </m:r>
          <m:r>
            <m:t>0</m:t>
          </m:r>
        </m:oMath>
      </m:oMathPara>
    </w:p>
    <w:p>
      <w:pPr>
        <w:pStyle w:val="FirstParagraph"/>
      </w:pPr>
      <w:r>
        <w:t xml:space="preserve">Testing whether it works..!</w:t>
      </w:r>
    </w:p>
    <w:p>
      <w:pPr>
        <w:pStyle w:val="Heading2"/>
      </w:pPr>
      <w:bookmarkStart w:id="30" w:name="references"/>
      <w:r>
        <w:t xml:space="preserve">References</w:t>
      </w:r>
      <w:bookmarkEnd w:id="30"/>
    </w:p>
    <w:bookmarkStart w:id="34" w:name="refs"/>
    <w:bookmarkStart w:id="32" w:name="ref-colton_design_2010"/>
    <w:p>
      <w:pPr>
        <w:pStyle w:val="Bibliography"/>
      </w:pPr>
      <w:r>
        <w:t xml:space="preserve">[1] S. W. Colton, “Design and prototyping methods for brushless motors and motor control,” Masters Thesis, Massachusetts Institute of Technology, 2010 [Online]. Available:</w:t>
      </w:r>
      <w:r>
        <w:t xml:space="preserve"> </w:t>
      </w:r>
      <w:hyperlink r:id="rId31">
        <w:r>
          <w:rPr>
            <w:rStyle w:val="Hyperlink"/>
          </w:rPr>
          <w:t xml:space="preserve">http://dspace.mit.edu/handle/1721.1/61599</w:t>
        </w:r>
      </w:hyperlink>
    </w:p>
    <w:bookmarkEnd w:id="32"/>
    <w:bookmarkStart w:id="33" w:name="ref-kalouche_design_2016"/>
    <w:p>
      <w:pPr>
        <w:pStyle w:val="Bibliography"/>
      </w:pPr>
      <w:r>
        <w:t xml:space="preserve">[2] S. Kalouche, “Design for 3d agility and virtual compliance using proprioceptive force control in dynamic legged robots,” Masters Thesis, Carnegie Mellon University, 2016.</w:t>
      </w:r>
      <w:r>
        <w:t xml:space="preserve"> </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hyperlink" Id="rId31" Target="http://dspace.mit.edu/handle/1721.1/61599" TargetMode="External" /></Relationships>
</file>

<file path=word/_rels/footnotes.xml.rels><?xml version="1.0" encoding="UTF-8"?>
<Relationships xmlns="http://schemas.openxmlformats.org/package/2006/relationships"><Relationship Type="http://schemas.openxmlformats.org/officeDocument/2006/relationships/hyperlink" Id="rId31" Target="http://dspace.mit.edu/handle/1721.1/615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Dynamics, Drive of BLDC Motor</dc:title>
  <dc:creator>Ajay G</dc:creator>
  <cp:keywords/>
  <dcterms:created xsi:type="dcterms:W3CDTF">2018-08-26T13:06:47Z</dcterms:created>
  <dcterms:modified xsi:type="dcterms:W3CDTF">2018-08-26T13:06:47Z</dcterms:modified>
</cp:coreProperties>
</file>