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Heading2"/>
      </w:pPr>
      <w:bookmarkStart w:id="20" w:name="why-bldc"/>
      <w:r>
        <w:t xml:space="preserve">Why BLDC ?</w:t>
      </w:r>
      <w:bookmarkEnd w:id="20"/>
    </w:p>
    <w:p>
      <w:pPr>
        <w:pStyle w:val="FirstParagraph"/>
      </w:pPr>
      <w:r>
        <w:t xml:space="preserve">Reduced noise, wear, and friction caused by brushes. [Direct-drive robots: theory and practice]</w:t>
      </w:r>
    </w:p>
    <w:p>
      <w:pPr>
        <w:pStyle w:val="BodyText"/>
      </w:pPr>
      <w:r>
        <w:t xml:space="preserve">Torque -Speed characteristics is linear.</w:t>
      </w:r>
    </w:p>
    <w:p>
      <w:pPr>
        <w:pStyle w:val="Heading2"/>
      </w:pPr>
      <w:bookmarkStart w:id="21" w:name="thermal-specific-torque-density"/>
      <w:r>
        <w:t xml:space="preserve">Thermal Specific Torque Density</w:t>
      </w:r>
      <w:bookmarkEnd w:id="21"/>
    </w:p>
    <w:p>
      <w:pPr>
        <w:pStyle w:val="FirstParagraph"/>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FirstParagraph"/>
      </w:pPr>
      <w:r>
        <w:t xml:space="preserve">outrunners (rotor on the outside) will be preferrable to inrunners (rotor on the inside), and this measure is tied favorably to a motor’s radius to depth ratio [Direct-drive robots: theory and practice] as well as a large gap radius [Actuator design for high force proprioceptive control in fast legged locomotion]. The measure is fundamentally winding invariant [Leg Design for Energy Management in an Electromechanical Robot], but in practice other details of the motor’s construction (especially relating to the stator core and volume of copper) are critical.</w:t>
      </w:r>
    </w:p>
    <w:p>
      <w:pPr>
        <w:pStyle w:val="BodyText"/>
      </w:pPr>
      <w:r>
        <w:rPr>
          <w:b/>
        </w:rPr>
        <w:t xml:space="preserve">[Direct-drive robots: theory and practice]</w:t>
      </w:r>
      <w:r>
        <w:t xml:space="preserve"> </w:t>
      </w:r>
      <w:r>
        <w:t xml:space="preserve">Direct Drive has no damping.</w:t>
      </w:r>
      <w:r>
        <w:t xml:space="preserve"> </w:t>
      </w:r>
      <m:oMath>
        <m:r>
          <m:t>M</m:t>
        </m:r>
        <m:r>
          <m:t>e</m:t>
        </m:r>
        <m:r>
          <m:t>c</m:t>
        </m:r>
        <m:r>
          <m:t>h</m:t>
        </m:r>
        <m:r>
          <m:t>a</m:t>
        </m:r>
        <m:r>
          <m:t>n</m:t>
        </m:r>
        <m:r>
          <m:t>i</m:t>
        </m:r>
        <m:r>
          <m:t>c</m:t>
        </m:r>
        <m:r>
          <m:t>a</m:t>
        </m:r>
        <m:r>
          <m:t>l</m:t>
        </m:r>
        <m:r>
          <m:t> </m:t>
        </m:r>
        <m:r>
          <m:t>T</m:t>
        </m:r>
        <m:r>
          <m:t>i</m:t>
        </m:r>
        <m:r>
          <m:t>m</m:t>
        </m:r>
        <m:r>
          <m:t>e</m:t>
        </m:r>
        <m:r>
          <m:t> </m:t>
        </m:r>
        <m:r>
          <m:t>C</m:t>
        </m:r>
        <m:r>
          <m:t>o</m:t>
        </m:r>
        <m:r>
          <m:t>n</m:t>
        </m:r>
        <m:r>
          <m:t>s</m:t>
        </m:r>
        <m:r>
          <m:t>t</m:t>
        </m:r>
        <m:r>
          <m:t>a</m:t>
        </m:r>
        <m:r>
          <m:t>n</m:t>
        </m:r>
        <m:r>
          <m:t>t</m:t>
        </m:r>
        <m:r>
          <m:t> </m:t>
        </m:r>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oMath>
      <w:r>
        <w:t xml:space="preserve"> </w:t>
      </w:r>
      <w:r>
        <w:t xml:space="preserve">is large comapred to geared drive.</w:t>
      </w:r>
    </w:p>
    <w:p>
      <w:pPr>
        <w:pStyle w:val="BodyText"/>
      </w:pPr>
      <w:r>
        <w:rPr>
          <w:b/>
        </w:rPr>
        <w:t xml:space="preserve">Motor Inductance Effects</w:t>
      </w:r>
      <w:r>
        <w:t xml:space="preserve"> </w:t>
      </w:r>
      <w:r>
        <w:t xml:space="preserve">Direct-drive motors for robotics applications arc generally designed for maximum output torques. To eliminate a mechanical gearing. the large output torque is the most important specification in the motor design.</w:t>
      </w:r>
    </w:p>
    <w:p>
      <w:pPr>
        <w:pStyle w:val="BodyText"/>
      </w:pPr>
      <w:r>
        <w:t xml:space="preserve">However, this requirement leads to the use of large windings, which have significantly large inductances.</w:t>
      </w:r>
    </w:p>
    <w:p>
      <w:pPr>
        <w:pStyle w:val="BodyText"/>
      </w:pPr>
      <w:r>
        <w:t xml:space="preserve">The electric time constant, which is determined by the motor inductance, becomes particularly slow for a large direct-drive motor having as large inductance.</w:t>
      </w:r>
    </w:p>
    <w:p>
      <w:pPr>
        <w:pStyle w:val="BodyText"/>
      </w:pPr>
      <w:r>
        <w:t xml:space="preserve">The slow time constant may cause a stability problem.</w:t>
      </w:r>
    </w:p>
    <w:p>
      <w:pPr>
        <w:pStyle w:val="BodyText"/>
      </w:pPr>
      <w:r>
        <w:t xml:space="preserve">For traditional servomotors used in the gear-drive robot, the motor inductance is negligibly small. Hence, the effect of th e electric time constant is negligible, and the drive system can be treated as a second-order system, unless other higher-order delays are prominant.</w:t>
      </w:r>
    </w:p>
    <w:p>
      <w:pPr>
        <w:pStyle w:val="BodyText"/>
      </w:pPr>
      <w:r>
        <w:t xml:space="preserve">Thus, the drive system is inherently stable with an appropriate damping. By contrast, often the direct-drive system can be unstable due to the motor inductance effect. To cope with this problem, the amplifier of the direct-drive motor must have fast dynamic responses to drive motor currents quickly in spite of the large inductance. Also, the control system must be designed carefully so that the stability margin can be sufficiently large.</w:t>
      </w:r>
    </w:p>
    <w:p>
      <w:pPr>
        <w:pStyle w:val="BodyText"/>
      </w:pPr>
      <w:r>
        <w:rPr>
          <w:b/>
        </w:rPr>
        <w:t xml:space="preserve">Gap radius ?</w:t>
      </w:r>
      <w:r>
        <w:t xml:space="preserve"> </w:t>
      </w:r>
      <w:r>
        <w:t xml:space="preserve">[Actuator design for high force proprioceptive control in fast legged locomotion]</w:t>
      </w:r>
    </w:p>
    <w:p>
      <w:pPr>
        <w:pStyle w:val="BodyText"/>
      </w:pPr>
      <w:r>
        <w:t xml:space="preserve">The gap radius is the distance from the rotating axis to the center of the gap between permanent magnets and the stator.</w:t>
      </w:r>
    </w:p>
    <w:p>
      <w:pPr>
        <w:pStyle w:val="BodyText"/>
      </w:pPr>
      <w:r>
        <w:t xml:space="preserve">The area inside of the gap increase proportionally.</w:t>
      </w:r>
    </w:p>
    <w:p>
      <w:pPr>
        <w:pStyle w:val="BodyText"/>
      </w:pPr>
      <m:oMathPara>
        <m:oMathParaPr>
          <m:jc m:val="center"/>
        </m:oMathParaPr>
        <m:oMath>
          <m:r>
            <m:t>M</m:t>
          </m:r>
          <m:r>
            <m:t>∝</m:t>
          </m:r>
          <m:sSub>
            <m:e>
              <m:r>
                <m:t>r</m:t>
              </m:r>
            </m:e>
            <m:sub>
              <m:r>
                <m:t>g</m:t>
              </m:r>
              <m:r>
                <m:t>a</m:t>
              </m:r>
              <m:r>
                <m:t>p</m:t>
              </m:r>
            </m:sub>
          </m:sSub>
        </m:oMath>
      </m:oMathPara>
    </w:p>
    <w:p>
      <w:pPr>
        <w:pStyle w:val="FirstParagraph"/>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r>
            <m:t>J</m:t>
          </m:r>
          <m:r>
            <m:t>∝</m:t>
          </m:r>
          <m:sSubSup>
            <m:e>
              <m:r>
                <m:t>r</m:t>
              </m:r>
            </m:e>
            <m:sub>
              <m:r>
                <m:t>g</m:t>
              </m:r>
              <m:r>
                <m:t>a</m:t>
              </m:r>
              <m:r>
                <m:t>p</m:t>
              </m:r>
            </m:sub>
            <m:sup>
              <m:r>
                <m:t>3</m:t>
              </m:r>
            </m:sup>
          </m:sSubSup>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pStyle w:val="FirstParagraph"/>
      </w:pPr>
      <w:r>
        <w:t xml:space="preserve">Motor Constant</w:t>
      </w:r>
      <w:r>
        <w:t xml:space="preserve"> </w:t>
      </w:r>
      <m:oMath>
        <m:sSub>
          <m:e>
            <m:r>
              <m:t>K</m:t>
            </m:r>
          </m:e>
          <m:sub>
            <m:r>
              <m:t>m</m:t>
            </m:r>
          </m:sub>
        </m:sSub>
      </m:oMath>
      <w:r>
        <w:t xml:space="preserve"> </w:t>
      </w:r>
      <w:r>
        <w:t xml:space="preserve">is the ability to produce Toqrue for a given heating power loss. It is winding invariant (as long as same conductimg wires used) but why? (Leanr about turns and wires thickness) (a)[https://ipfs.io/ipfs/QmXoypizjW3WknFiJnKLwHCnL72vedxjQkDDP1mXWo6uco/wiki/Motor_constants.html]</w:t>
      </w:r>
    </w:p>
    <w:p>
      <w:pPr>
        <w:pStyle w:val="BodyText"/>
      </w:pPr>
      <m:oMathPara>
        <m:oMathParaPr>
          <m:jc m:val="center"/>
        </m:oMathParaPr>
        <m:oMath>
          <m:sSub>
            <m:e>
              <m:r>
                <m:t>K</m:t>
              </m:r>
            </m:e>
            <m:sub>
              <m:r>
                <m:t>m</m:t>
              </m:r>
            </m:sub>
          </m:sSub>
          <m:r>
            <m:t>=</m:t>
          </m:r>
          <m:f>
            <m:fPr>
              <m:type m:val="bar"/>
            </m:fPr>
            <m:num>
              <m:r>
                <m:t>τ</m:t>
              </m:r>
            </m:num>
            <m:den>
              <m:rad>
                <m:radPr>
                  <m:degHide m:val="1"/>
                </m:radPr>
                <m:deg/>
                <m:e>
                  <m:sSub>
                    <m:e>
                      <m:r>
                        <m:t>P</m:t>
                      </m:r>
                    </m:e>
                    <m:sub>
                      <m:r>
                        <m:t>l</m:t>
                      </m:r>
                      <m:r>
                        <m:t>o</m:t>
                      </m:r>
                      <m:r>
                        <m:t>s</m:t>
                      </m:r>
                      <m:r>
                        <m:t>s</m:t>
                      </m:r>
                    </m:sub>
                  </m:sSub>
                </m:e>
              </m:rad>
            </m:den>
          </m:f>
          <m:r>
            <m:t>=</m:t>
          </m:r>
          <m:f>
            <m:fPr>
              <m:type m:val="bar"/>
            </m:fPr>
            <m:num>
              <m:r>
                <m:t>I</m:t>
              </m:r>
              <m:sSub>
                <m:e>
                  <m:r>
                    <m:t>K</m:t>
                  </m:r>
                </m:e>
                <m:sub>
                  <m:r>
                    <m:t>T</m:t>
                  </m:r>
                </m:sub>
              </m:sSub>
            </m:num>
            <m:den>
              <m:rad>
                <m:radPr>
                  <m:degHide m:val="1"/>
                </m:radPr>
                <m:deg/>
                <m:e>
                  <m:sSup>
                    <m:e>
                      <m:r>
                        <m:t>I</m:t>
                      </m:r>
                    </m:e>
                    <m:sup>
                      <m:r>
                        <m:t>2</m:t>
                      </m:r>
                    </m:sup>
                  </m:sSup>
                  <m:r>
                    <m:t>R</m:t>
                  </m:r>
                </m:e>
              </m:rad>
            </m:den>
          </m:f>
          <m:r>
            <m:t>=</m:t>
          </m:r>
          <m:f>
            <m:fPr>
              <m:type m:val="bar"/>
            </m:fPr>
            <m:num>
              <m:sSub>
                <m:e>
                  <m:r>
                    <m:t>K</m:t>
                  </m:r>
                </m:e>
                <m:sub>
                  <m:r>
                    <m:t>T</m:t>
                  </m:r>
                </m:sub>
              </m:sSub>
            </m:num>
            <m:den>
              <m:rad>
                <m:radPr>
                  <m:degHide m:val="1"/>
                </m:radPr>
                <m:deg/>
                <m:e>
                  <m:r>
                    <m:t>R</m:t>
                  </m:r>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pStyle w:val="FirstParagraph"/>
      </w:pPr>
      <w:r>
        <w:t xml:space="preserve">[Actuator design for high force proprioceptive control in fast legged locomotion]</w:t>
      </w:r>
    </w:p>
    <w:p>
      <w:pPr>
        <w:pStyle w:val="BodyText"/>
      </w:pPr>
      <w:r>
        <w:rPr>
          <w:b/>
        </w:rPr>
        <w:t xml:space="preserve">winding Invarainat?</w:t>
      </w:r>
      <w:r>
        <w:t xml:space="preserve"> </w:t>
      </w:r>
      <w:r>
        <w:t xml:space="preserve">[Leg Design for Energy Management in an Electromechanical Robot]</w:t>
      </w:r>
    </w:p>
    <w:p>
      <w:pPr>
        <w:pStyle w:val="BodyText"/>
      </w:pPr>
      <w:r>
        <w:t xml:space="preserve">Winding volume,</w:t>
      </w:r>
      <w:r>
        <w:t xml:space="preserve"> </w:t>
      </w:r>
      <m:oMath>
        <m:r>
          <m:t>V</m:t>
        </m:r>
        <m:r>
          <m:t>=</m:t>
        </m:r>
        <m:r>
          <m:t>π</m:t>
        </m:r>
        <m:sSup>
          <m:e>
            <m:r>
              <m:t>ρ</m:t>
            </m:r>
          </m:e>
          <m:sup>
            <m:r>
              <m:t>2</m:t>
            </m:r>
          </m:sup>
        </m:sSup>
        <m:r>
          <m:t>L</m:t>
        </m:r>
      </m:oMath>
      <w:r>
        <w:t xml:space="preserve">.</w:t>
      </w:r>
    </w:p>
    <w:p>
      <w:pPr>
        <w:pStyle w:val="BodyText"/>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1</m:t>
              </m:r>
            </m:num>
            <m:den>
              <m:sSup>
                <m:e>
                  <m:r>
                    <m:t>ρ</m:t>
                  </m:r>
                </m:e>
                <m:sup>
                  <m:r>
                    <m:t>4</m:t>
                  </m:r>
                </m:sup>
              </m:sSup>
            </m:den>
          </m:f>
        </m:oMath>
      </m:oMathPara>
    </w:p>
    <w:p>
      <w:pPr>
        <w:pStyle w:val="FirstParagraph"/>
      </w:pPr>
      <m:oMathPara>
        <m:oMathParaPr>
          <m:jc m:val="center"/>
        </m:oMathParaPr>
        <m:oMath>
          <m:sSub>
            <m:e>
              <m:r>
                <m:t>K</m:t>
              </m:r>
            </m:e>
            <m:sub>
              <m:r>
                <m:t>t</m:t>
              </m:r>
            </m:sub>
          </m:sSub>
          <m:r>
            <m:t>∝</m:t>
          </m:r>
          <m:r>
            <m:t>L</m:t>
          </m:r>
          <m:r>
            <m:t>∝</m:t>
          </m:r>
          <m:f>
            <m:fPr>
              <m:type m:val="bar"/>
            </m:fPr>
            <m:num>
              <m:r>
                <m:t>1</m:t>
              </m:r>
            </m:num>
            <m:den>
              <m:sSup>
                <m:e>
                  <m:r>
                    <m:t>ρ</m:t>
                  </m:r>
                </m:e>
                <m:sup>
                  <m:r>
                    <m:t>2</m:t>
                  </m:r>
                </m:sup>
              </m:s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p>
                <m:e>
                  <m:r>
                    <m:t>ρ</m:t>
                  </m:r>
                </m:e>
                <m:sup>
                  <m:r>
                    <m:t>2</m:t>
                  </m:r>
                </m:sup>
              </m:sSup>
            </m:den>
          </m:f>
        </m:oMath>
      </m:oMathPara>
    </w:p>
    <w:p>
      <w:pPr>
        <w:pStyle w:val="FirstParagraph"/>
      </w:pPr>
      <m:oMathPara>
        <m:oMathParaPr>
          <m:jc m:val="center"/>
        </m:oMathParaPr>
        <m:oMath>
          <m:sSub>
            <m:e>
              <m:r>
                <m:t>P</m:t>
              </m:r>
            </m:e>
            <m:sub>
              <m:r>
                <m:t>l</m:t>
              </m:r>
              <m:r>
                <m:t>o</m:t>
              </m:r>
              <m:r>
                <m:t>s</m:t>
              </m:r>
              <m:r>
                <m:t>s</m:t>
              </m:r>
            </m:sub>
          </m:sSub>
          <m:r>
            <m:t>=</m:t>
          </m:r>
          <m:sSup>
            <m:e>
              <m:r>
                <m:t>i</m:t>
              </m:r>
            </m:e>
            <m:sup>
              <m:r>
                <m:t>2</m:t>
              </m:r>
            </m:sup>
          </m:sSup>
          <m:r>
            <m:t>R</m:t>
          </m:r>
          <m:r>
            <m:t>∝</m:t>
          </m:r>
          <m:f>
            <m:fPr>
              <m:type m:val="bar"/>
            </m:fPr>
            <m:num>
              <m:sSup>
                <m:e>
                  <m:r>
                    <m:t>i</m:t>
                  </m:r>
                </m:e>
                <m:sup>
                  <m:r>
                    <m:t>2</m:t>
                  </m:r>
                </m:sup>
              </m:sSup>
            </m:num>
            <m:den>
              <m:sSup>
                <m:e>
                  <m:r>
                    <m:t>ρ</m:t>
                  </m:r>
                </m:e>
                <m:sup>
                  <m:r>
                    <m:t>4</m:t>
                  </m:r>
                </m:sup>
              </m:sSup>
            </m:den>
          </m:f>
        </m:oMath>
      </m:oMathPara>
    </w:p>
    <w:p>
      <w:pPr>
        <w:pStyle w:val="FirstParagraph"/>
      </w:pPr>
      <w:r>
        <w:t xml:space="preserve">thus</w:t>
      </w:r>
    </w:p>
    <w:p>
      <w:pPr>
        <w:pStyle w:val="BodyText"/>
      </w:pPr>
      <m:oMathPara>
        <m:oMathParaPr>
          <m:jc m:val="center"/>
        </m:oMathParaPr>
        <m:oMath>
          <m:sSub>
            <m:e>
              <m:r>
                <m:t>K</m:t>
              </m:r>
            </m:e>
            <m:sub>
              <m:r>
                <m:t>m</m:t>
              </m:r>
            </m:sub>
          </m:sSub>
          <m:r>
            <m:t>=</m:t>
          </m:r>
          <m:f>
            <m:fPr>
              <m:type m:val="bar"/>
            </m:fPr>
            <m:num>
              <m:r>
                <m:t>T</m:t>
              </m:r>
            </m:num>
            <m:den>
              <m:rad>
                <m:radPr>
                  <m:degHide m:val="1"/>
                </m:radPr>
                <m:deg/>
                <m:e>
                  <m:sSub>
                    <m:e>
                      <m:r>
                        <m:t>P</m:t>
                      </m:r>
                    </m:e>
                    <m:sub>
                      <m:r>
                        <m:t>l</m:t>
                      </m:r>
                      <m:r>
                        <m:t>o</m:t>
                      </m:r>
                      <m:r>
                        <m:t>s</m:t>
                      </m:r>
                      <m:r>
                        <m:t>s</m:t>
                      </m:r>
                    </m:sub>
                  </m:sSub>
                </m:e>
              </m:rad>
            </m:den>
          </m:f>
          <m:r>
            <m:t>∝</m:t>
          </m:r>
          <m:sSup>
            <m:e>
              <m:r>
                <m:t>ρ</m:t>
              </m:r>
            </m:e>
            <m:sup>
              <m:r>
                <m:t>0</m:t>
              </m:r>
            </m:sup>
          </m:sSup>
        </m:oMath>
      </m:oMathPara>
    </w:p>
    <w:p>
      <w:pPr>
        <w:pStyle w:val="FirstParagraph"/>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pStyle w:val="BodyText"/>
      </w:pPr>
      <w:r>
        <w:t xml:space="preserve">Thus for a real world we need a hybrid approach</w:t>
      </w:r>
    </w:p>
    <w:p>
      <w:pPr>
        <w:pStyle w:val="Heading2"/>
      </w:pPr>
      <w:bookmarkStart w:id="22" w:name="design"/>
      <w:r>
        <w:t xml:space="preserve">Design</w:t>
      </w:r>
      <w:bookmarkEnd w:id="22"/>
    </w:p>
    <w:p>
      <w:pPr>
        <w:pStyle w:val="Heading4"/>
      </w:pPr>
      <w:bookmarkStart w:id="23" w:name="basic-terminology"/>
      <w:r>
        <w:t xml:space="preserve">Basic Terminology</w:t>
      </w:r>
      <w:bookmarkEnd w:id="23"/>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4"/>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5"/>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BodyText"/>
      </w:pPr>
      <w:r>
        <w:t xml:space="preserve">Turns</w:t>
      </w:r>
    </w:p>
    <w:p>
      <w:pPr>
        <w:pStyle w:val="BodyText"/>
      </w:pPr>
      <w:r>
        <w:t xml:space="preserve">Poles</w:t>
      </w:r>
    </w:p>
    <w:p>
      <w:pPr>
        <w:pStyle w:val="BodyText"/>
      </w:pPr>
      <w:r>
        <w:t xml:space="preserve">Motor Torque constant is not a constant</w:t>
      </w:r>
    </w:p>
    <w:p>
      <w:pPr>
        <w:pStyle w:val="BodyText"/>
      </w:pPr>
      <m:oMathPara>
        <m:oMathParaPr>
          <m:jc m:val="center"/>
        </m:oMathParaPr>
        <m:oMath>
          <m:sSub>
            <m:e>
              <m:r>
                <m:t>k</m:t>
              </m:r>
            </m:e>
            <m:sub>
              <m:r>
                <m:t>t</m:t>
              </m:r>
            </m:sub>
          </m:sSub>
          <m:r>
            <m:t>=</m:t>
          </m:r>
          <m:r>
            <m:t>f</m:t>
          </m:r>
          <m:r>
            <m:t>(</m:t>
          </m:r>
          <m:sSub>
            <m:e>
              <m:r>
                <m:t>θ</m:t>
              </m:r>
            </m:e>
            <m:sub>
              <m:r>
                <m:t>e</m:t>
              </m:r>
            </m:sub>
          </m:sSub>
          <m:r>
            <m:t>)</m:t>
          </m:r>
        </m:oMath>
      </m:oMathPara>
    </w:p>
    <w:p>
      <w:pPr>
        <w:pStyle w:val="FirstParagraph"/>
      </w:pPr>
      <w:r>
        <w:t xml:space="preserve">, where</w:t>
      </w:r>
      <w:r>
        <w:t xml:space="preserve"> </w:t>
      </w:r>
      <m:oMath>
        <m:sSub>
          <m:e>
            <m:r>
              <m:t>θ</m:t>
            </m:r>
          </m:e>
          <m:sub>
            <m:r>
              <m:t>e</m:t>
            </m:r>
          </m:sub>
        </m:sSub>
      </m:oMath>
      <w:r>
        <w:t xml:space="preserve"> </w:t>
      </w:r>
      <w:r>
        <w:t xml:space="preserve">is the electrical angle for BLDC Motor</w:t>
      </w:r>
    </w:p>
    <w:p>
      <w:pPr>
        <w:pStyle w:val="BodyText"/>
      </w:pPr>
      <m:oMathPara>
        <m:oMathParaPr>
          <m:jc m:val="center"/>
        </m:oMathParaPr>
        <m:oMath>
          <m:sSub>
            <m:e>
              <m:r>
                <m:t>k</m:t>
              </m:r>
            </m:e>
            <m:sub>
              <m:r>
                <m:t>t</m:t>
              </m:r>
            </m:sub>
          </m:sSub>
          <m:r>
            <m:t>=</m:t>
          </m:r>
          <m:r>
            <m:t>c</m:t>
          </m:r>
        </m:oMath>
      </m:oMathPara>
    </w:p>
    <w:p>
      <w:pPr>
        <w:pStyle w:val="FirstParagraph"/>
      </w:pPr>
      <w:r>
        <w:t xml:space="preserve">, where</w:t>
      </w:r>
      <w:r>
        <w:t xml:space="preserve"> </w:t>
      </w:r>
      <m:oMath>
        <m:r>
          <m:t>c</m:t>
        </m:r>
      </m:oMath>
      <w:r>
        <w:t xml:space="preserve"> </w:t>
      </w:r>
      <w:r>
        <w:t xml:space="preserve">is conatant for DC motor</w:t>
      </w:r>
    </w:p>
    <w:p>
      <w:pPr>
        <w:pStyle w:val="BodyText"/>
      </w:pPr>
      <w:r>
        <w:t xml:space="preserve">Resistance</w:t>
      </w:r>
    </w:p>
    <w:p>
      <w:pPr>
        <w:pStyle w:val="Heading4"/>
      </w:pPr>
      <w:bookmarkStart w:id="26" w:name="inductance"/>
      <w:r>
        <w:t xml:space="preserve">Inductance</w:t>
      </w:r>
      <w:bookmarkEnd w:id="26"/>
    </w:p>
    <w:p>
      <w:pPr>
        <w:pStyle w:val="FirstParagraph"/>
      </w:pPr>
      <w:r>
        <w:t xml:space="preserve">It will resist the rapid change in current by producing a voltage across it but its not the Back EMF.</w:t>
      </w:r>
    </w:p>
    <w:p>
      <w:pPr>
        <w:pStyle w:val="BodyText"/>
      </w:pPr>
      <w:r>
        <w:t xml:space="preserve">Back EMF is the only component that is generate by the permanent magnet flux</w:t>
      </w:r>
    </w:p>
    <w:p>
      <w:pPr>
        <w:pStyle w:val="BodyText"/>
      </w:pPr>
      <w:r>
        <w:t xml:space="preserve">The value of inductance is less straightforward to calculate because the phases are not</w:t>
      </w:r>
      <w:r>
        <w:t xml:space="preserve"> </w:t>
      </w:r>
      <w:r>
        <w:t xml:space="preserve">magnetically independent. That is, current in one phase can induce flux in another. Under</w:t>
      </w:r>
      <w:r>
        <w:t xml:space="preserve"> </w:t>
      </w:r>
      <w:r>
        <w:t xml:space="preserve">sinusoidal drive currents, it is possible to use a lumped inductance, called the synchronous</w:t>
      </w:r>
      <w:r>
        <w:t xml:space="preserve"> </w:t>
      </w:r>
      <w:r>
        <w:t xml:space="preserve">inductance, to accommodate for this. The value of the synchronous inductance</w:t>
      </w:r>
      <w:r>
        <w:t xml:space="preserve"> </w:t>
      </w:r>
      <m:oMath>
        <m:sSub>
          <m:e>
            <m:r>
              <m:t>L</m:t>
            </m:r>
          </m:e>
          <m:sub>
            <m:r>
              <m:t>s</m:t>
            </m:r>
          </m:sub>
        </m:sSub>
      </m:oMath>
      <w:r>
        <w:t xml:space="preserve"> </w:t>
      </w:r>
      <w:r>
        <w:t xml:space="preserve">is:</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pStyle w:val="FirstParagraph"/>
      </w:pPr>
      <m:oMath>
        <m:sSub>
          <m:e>
            <m:r>
              <m:t>L</m:t>
            </m:r>
          </m:e>
          <m:sub>
            <m:r>
              <m:t>a</m:t>
            </m:r>
          </m:sub>
        </m:sSub>
      </m:oMath>
      <w:r>
        <w:t xml:space="preserve"> </w:t>
      </w:r>
      <w:r>
        <w:t xml:space="preserve">is ?</w:t>
      </w:r>
    </w:p>
    <w:p>
      <w:pPr>
        <w:pStyle w:val="BodyText"/>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pStyle w:val="BodyText"/>
      </w:pPr>
      <w:r>
        <w:t xml:space="preserve">The winding inductance is a function of motor geometry and the number of turns in the winding.</w:t>
      </w:r>
    </w:p>
    <w:p>
      <w:pPr>
        <w:pStyle w:val="Heading4"/>
      </w:pPr>
      <w:bookmarkStart w:id="27" w:name="saliency"/>
      <w:r>
        <w:t xml:space="preserve">Saliency</w:t>
      </w:r>
      <w:bookmarkEnd w:id="27"/>
    </w:p>
    <w:p>
      <w:pPr>
        <w:pStyle w:val="FirstParagraph"/>
      </w:pPr>
      <w:r>
        <w:t xml:space="preserve">In non-salient motors, also called round rotor,the inductance is not a function of electrical angle. This is the case for motors with complete radial symmetry of the rotor’s steel backing at any angle. (The magnets themselves don’t matter, since they have nearly the same permeability as air.) Motors with magnets mounted to the surface of the rotor steel, called surface permanent manget (SPM), fall into this category.</w:t>
      </w:r>
    </w:p>
    <w:p>
      <w:pPr>
        <w:pStyle w:val="BodyText"/>
      </w:pPr>
      <w:r>
        <w:t xml:space="preserve">Salient motors have an inductance that varies periodically with electrical angle. This is the case if the rotor’s steel backing is different at the poles than in between them. Motors with magnets embedded in the steel backing, called interior permanent magnet (IPM), fall into this category. This report will focus exclusively on non-salient, SPM motors. Torque production for salient motors requires a slightly more complicated analysis.</w:t>
      </w:r>
    </w:p>
    <w:p>
      <w:pPr>
        <w:pStyle w:val="BodyText"/>
      </w:pPr>
      <w:r>
        <w:t xml:space="preserve">Saliency</w:t>
      </w:r>
    </w:p>
    <w:p>
      <w:pPr>
        <w:pStyle w:val="BodyText"/>
      </w:pPr>
      <w:r>
        <w:t xml:space="preserve">Salient poles exhibit mainly attractive tangential gap forces -Why ?</w:t>
      </w:r>
      <w:r>
        <w:t xml:space="preserve"> </w:t>
      </w:r>
      <w:r>
        <w:t xml:space="preserve">Non-salient poles exhibit both attractive &amp; repulsive gap forces -Why ? (lec1)</w:t>
      </w:r>
    </w:p>
    <w:p>
      <w:pPr>
        <w:pStyle w:val="BodyText"/>
      </w:pPr>
      <w:r>
        <w:rPr>
          <w:b/>
        </w:rPr>
        <w:t xml:space="preserve">what are field windings and armature winding ?</w:t>
      </w:r>
    </w:p>
    <w:p>
      <w:pPr>
        <w:pStyle w:val="BodyText"/>
      </w:pPr>
      <w:r>
        <w:t xml:space="preserve">No. of Stator slot = 3 * No. of Poles</w:t>
      </w:r>
    </w:p>
    <w:p>
      <w:pPr>
        <w:pStyle w:val="BodyText"/>
      </w:pPr>
      <w:r>
        <w:t xml:space="preserve">No. of Stator slot/pole =</w:t>
      </w:r>
    </w:p>
    <w:p>
      <w:pPr>
        <w:pStyle w:val="BodyText"/>
      </w:pPr>
      <w:r>
        <w:rPr>
          <w:b/>
        </w:rPr>
        <w:t xml:space="preserve">Skin effect causes current eveneness</w:t>
      </w:r>
    </w:p>
    <w:p>
      <w:pPr>
        <w:pStyle w:val="BodyText"/>
      </w:pPr>
      <w:r>
        <w:rPr>
          <w:b/>
        </w:rPr>
        <w:t xml:space="preserve">Proximity effect</w:t>
      </w:r>
    </w:p>
    <w:p>
      <w:pPr>
        <w:pStyle w:val="BodyText"/>
      </w:pPr>
      <w:r>
        <w:rPr>
          <w:b/>
        </w:rPr>
        <w:t xml:space="preserve">what is reluctance torque?</w:t>
      </w:r>
    </w:p>
    <w:p>
      <w:pPr>
        <w:pStyle w:val="Heading4"/>
      </w:pPr>
      <w:bookmarkStart w:id="28" w:name="air-gap"/>
      <w:r>
        <w:t xml:space="preserve">Air Gap</w:t>
      </w:r>
      <w:bookmarkEnd w:id="28"/>
    </w:p>
    <w:p>
      <w:pPr>
        <w:pStyle w:val="Heading4"/>
      </w:pPr>
      <w:bookmarkStart w:id="29" w:name="slot"/>
      <w:r>
        <w:t xml:space="preserve">Slot</w:t>
      </w:r>
      <w:bookmarkEnd w:id="29"/>
    </w:p>
    <w:p>
      <w:pPr>
        <w:pStyle w:val="Heading4"/>
      </w:pPr>
      <w:bookmarkStart w:id="30" w:name="winding-configuration"/>
      <w:r>
        <w:t xml:space="preserve">Winding Configuration</w:t>
      </w:r>
      <w:bookmarkEnd w:id="30"/>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31" w:name="dynamics"/>
      <w:r>
        <w:t xml:space="preserve">Dynamics</w:t>
      </w:r>
      <w:bookmarkEnd w:id="31"/>
    </w:p>
    <w:p>
      <w:pPr>
        <w:pStyle w:val="Heading4"/>
      </w:pPr>
      <w:bookmarkStart w:id="32" w:name="losses"/>
      <w:r>
        <w:t xml:space="preserve">Losses</w:t>
      </w:r>
      <w:bookmarkEnd w:id="32"/>
    </w:p>
    <w:p>
      <w:pPr>
        <w:pStyle w:val="FirstParagraph"/>
      </w:pPr>
      <w:r>
        <w:t xml:space="preserve">Inefficiencies can be grouped into two general categories:</w:t>
      </w:r>
    </w:p>
    <w:p>
      <w:pPr>
        <w:pStyle w:val="Compact"/>
        <w:numPr>
          <w:numId w:val="1001"/>
          <w:ilvl w:val="0"/>
        </w:numPr>
      </w:pPr>
      <w:r>
        <w:t xml:space="preserve">Torque/Copper/</w:t>
      </w:r>
      <m:oMath>
        <m:sSup>
          <m:e>
            <m:r>
              <m:t>I</m:t>
            </m:r>
          </m:e>
          <m:sup>
            <m:r>
              <m:t>2</m:t>
            </m:r>
          </m:sup>
        </m:sSup>
      </m:oMath>
      <w:r>
        <w:t xml:space="preserve"> </w:t>
      </w:r>
      <w:r>
        <w:t xml:space="preserve">Losses</w:t>
      </w:r>
    </w:p>
    <w:p>
      <w:pPr>
        <w:pStyle w:val="Compact"/>
        <w:numPr>
          <w:numId w:val="1001"/>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Heading2"/>
      </w:pPr>
      <w:bookmarkStart w:id="33" w:name="selection-criteria"/>
      <w:r>
        <w:t xml:space="preserve">Selection Criteria</w:t>
      </w:r>
      <w:bookmarkEnd w:id="33"/>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34" w:name="drive"/>
      <w:r>
        <w:t xml:space="preserve">Drive</w:t>
      </w:r>
      <w:bookmarkEnd w:id="34"/>
    </w:p>
    <w:p>
      <w:pPr>
        <w:pStyle w:val="Heading2"/>
      </w:pPr>
      <w:bookmarkStart w:id="35" w:name="references"/>
      <w:r>
        <w:t xml:space="preserve">References</w:t>
      </w:r>
      <w:bookmarkEnd w:id="35"/>
    </w:p>
    <w:bookmarkStart w:id="39" w:name="refs"/>
    <w:bookmarkStart w:id="37"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6">
        <w:r>
          <w:rPr>
            <w:rStyle w:val="Hyperlink"/>
          </w:rPr>
          <w:t xml:space="preserve">http://dspace.mit.edu/handle/1721.1/61599</w:t>
        </w:r>
      </w:hyperlink>
    </w:p>
    <w:bookmarkEnd w:id="37"/>
    <w:bookmarkStart w:id="38"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hyperlink" Id="rId36"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6"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
  <cp:keywords/>
  <dcterms:created xsi:type="dcterms:W3CDTF">2018-09-28T12:34:03Z</dcterms:created>
  <dcterms:modified xsi:type="dcterms:W3CDTF">2018-09-28T12:34:03Z</dcterms:modified>
</cp:coreProperties>
</file>