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  <w:jc w:val="left"/>
      </w:pPr>
      <w:bookmarkStart w:name="_Toc_Information_Architecture_APAS_1" w:id="1"/>
      <w:r>
        <w:rPr>
          <w:rFonts w:ascii="Calibri" w:cs="Calibri" w:eastAsia="Calibri" w:hAnsi="Calibri"/>
          <w:color w:val="000000"/>
          <w:sz w:val="32"/>
          <w:szCs w:val="32"/>
          <w:rtl w:val="false"/>
          <w:lang w:val="en-GB"/>
        </w:rPr>
        <w:t xml:space="preserve">Information Architecture — APAS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Status: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v2 · updated 2026-08-04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
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Purpose: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the governing reference for how APAS is structured — what things are called, how they relate, where they live, and how anything new gets placed.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Companion documents: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multi-tenancy-design.md · tenancy-implementation-plan.md · api-performance-backlog.md · DESIGN.md (visual system) · PRODUCT.md (positioning).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rFonts w:ascii="Calibri" w:cs="Calibri" w:eastAsia="Calibri" w:hAnsi="Calibri"/>
          <w:b/>
          <w:bCs/>
          <w:i/>
          <w:iCs/>
          <w:color w:val="000000"/>
          <w:sz w:val="24"/>
          <w:szCs w:val="24"/>
          <w:rtl w:val="false"/>
          <w:lang w:val="en-GB"/>
        </w:rPr>
        <w:t xml:space="preserve">How to use this.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  <w:rtl w:val="false"/>
          <w:lang w:val="en-GB"/>
        </w:rPr>
        <w:t xml:space="preserve"> Before adding a screen, an entity, a nav item or a URL, check it against §2 (vocabulary), §5 (URL rules) and §10 (placement rules). If the thing you are building does not fit, change this document deliberately — do not route around it.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Heading1"/>
        <w:bidi w:val="false"/>
        <w:spacing w:after="240"/>
        <w:jc w:val="center"/>
      </w:pPr>
      <w:r>
        <w:t xml:space="preserve">Contents</w:t>
      </w:r>
    </w:p>
    <w:p>
      <w:pPr>
        <w:bidi w:val="false"/>
        <w:spacing w:after="120"/>
        <w:ind w:left="0"/>
      </w:pPr>
      <w:hyperlink w:history="1" w:anchor="_Toc_Information_Architecture_APAS_1">
        <w:r>
          <w:rPr>
            <w:rFonts w:ascii="Calibri" w:cs="Calibri" w:eastAsia="Calibri" w:hAnsi="Calibri"/>
            <w:b/>
            <w:bCs/>
            <w:i w:val="false"/>
            <w:iCs w:val="false"/>
            <w:sz w:val="24"/>
            <w:szCs w:val="24"/>
            <w:rtl w:val="false"/>
            <w:lang w:val="en-GB"/>
          </w:rPr>
          <w:t xml:space="preserve">Information Architecture — APAS</w:t>
        </w:r>
      </w:hyperlink>
    </w:p>
    <w:p>
      <w:pPr>
        <w:bidi w:val="false"/>
        <w:spacing w:after="120"/>
        <w:ind w:left="400"/>
      </w:pPr>
      <w:hyperlink w:history="1" w:anchor="_Toc__1_Zones_2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1. Zones</w:t>
        </w:r>
      </w:hyperlink>
    </w:p>
    <w:p>
      <w:pPr>
        <w:bidi w:val="false"/>
        <w:spacing w:after="120"/>
        <w:ind w:left="400"/>
      </w:pPr>
      <w:hyperlink w:history="1" w:anchor="_Toc__2_Canonical_vocabulary_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2. Canonical vocabulary</w:t>
        </w:r>
      </w:hyperlink>
    </w:p>
    <w:p>
      <w:pPr>
        <w:bidi w:val="false"/>
        <w:spacing w:after="120"/>
        <w:ind w:left="400"/>
      </w:pPr>
      <w:hyperlink w:history="1" w:anchor="_Toc__3_Content_model_6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3. Content model</w:t>
        </w:r>
      </w:hyperlink>
    </w:p>
    <w:p>
      <w:pPr>
        <w:bidi w:val="false"/>
        <w:spacing w:after="120"/>
        <w:ind w:left="400"/>
      </w:pPr>
      <w:hyperlink w:history="1" w:anchor="_Toc__4_Navigation_model_7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4. Navigation model</w:t>
        </w:r>
      </w:hyperlink>
    </w:p>
    <w:p>
      <w:pPr>
        <w:bidi w:val="false"/>
        <w:spacing w:after="120"/>
        <w:ind w:left="400"/>
      </w:pPr>
      <w:hyperlink w:history="1" w:anchor="_Toc__5_URL_architecture_12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5. URL architecture</w:t>
        </w:r>
      </w:hyperlink>
    </w:p>
    <w:p>
      <w:pPr>
        <w:bidi w:val="false"/>
        <w:spacing w:after="120"/>
        <w:ind w:left="400"/>
      </w:pPr>
      <w:hyperlink w:history="1" w:anchor="_Toc__6_Screen_inventory_17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6. Screen inventory</w:t>
        </w:r>
      </w:hyperlink>
    </w:p>
    <w:p>
      <w:pPr>
        <w:bidi w:val="false"/>
        <w:spacing w:after="120"/>
        <w:ind w:left="400"/>
      </w:pPr>
      <w:hyperlink w:history="1" w:anchor="_Toc__7_Page_anatomy_18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7. Page anatomy</w:t>
        </w:r>
      </w:hyperlink>
    </w:p>
    <w:p>
      <w:pPr>
        <w:bidi w:val="false"/>
        <w:spacing w:after="120"/>
        <w:ind w:left="400"/>
      </w:pPr>
      <w:hyperlink w:history="1" w:anchor="_Toc__8_Search_command_palette_notifications_19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8. Search, command palette, notifications</w:t>
        </w:r>
      </w:hyperlink>
    </w:p>
    <w:p>
      <w:pPr>
        <w:bidi w:val="false"/>
        <w:spacing w:after="120"/>
        <w:ind w:left="400"/>
      </w:pPr>
      <w:hyperlink w:history="1" w:anchor="_Toc__9_Permission_surface_20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9. Permission surface</w:t>
        </w:r>
      </w:hyperlink>
    </w:p>
    <w:p>
      <w:pPr>
        <w:bidi w:val="false"/>
        <w:spacing w:after="120"/>
        <w:ind w:left="400"/>
      </w:pPr>
      <w:hyperlink w:history="1" w:anchor="_Toc__10_Placement_rules_21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10. Placement rules</w:t>
        </w:r>
      </w:hyperlink>
    </w:p>
    <w:p>
      <w:pPr>
        <w:bidi w:val="false"/>
        <w:spacing w:after="120"/>
        <w:ind w:left="400"/>
      </w:pPr>
      <w:hyperlink w:history="1" w:anchor="_Toc__11_Practice_lifecycle_22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11. Practice lifecycle</w:t>
        </w:r>
      </w:hyperlink>
    </w:p>
    <w:p>
      <w:pPr>
        <w:bidi w:val="false"/>
        <w:spacing w:after="120"/>
        <w:ind w:left="400"/>
      </w:pPr>
      <w:hyperlink w:history="1" w:anchor="_Toc__12_Decisions_log_23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sz w:val="22"/>
            <w:szCs w:val="22"/>
            <w:rtl w:val="false"/>
            <w:lang w:val="en-GB"/>
          </w:rPr>
          <w:t xml:space="preserve">12. Decisions log</w:t>
        </w:r>
      </w:hyperlink>
    </w:p>
    <w:p>
      <w:pPr>
        <w:pStyle w:val="2"/>
        <w:pStyle w:val="Heading2"/>
        <w:bidi w:val="false"/>
        <w:spacing w:after="120" w:before="240"/>
        <w:jc w:val="left"/>
      </w:pPr>
      <w:bookmarkStart w:name="_Toc__1_Zones_2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1. Zones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APAS has five distinct zones with different audiences, auth models and design languages. Keeping them separate is the top-level structural decision.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438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Zone</w:t>
            </w:r>
          </w:p>
        </w:tc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Audience</w:t>
            </w:r>
          </w:p>
        </w:tc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Auth</w:t>
            </w:r>
          </w:p>
        </w:tc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Root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Public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Prospects, regulators, the curious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None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/legal/*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Auth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People getting in or out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Anonymous → identified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/auth/*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Patient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Patients answering questionnaires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Single-use token, no account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/fill/[token]/*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Clinician app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Practitioners and practice staff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Session + practice context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/p/[slug]/…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Practice administration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Owners and admins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Session + role gate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/p/[slug]/team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/areas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/settings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/billing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Patient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zone is the one to guard most carefully. Patients are not users: they have no account, no navigation, no access to anything but the one questionnaire their token unlocks. It must never inherit the clinician shell, and its copy must name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the practice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as data controller — APAS is the platform only.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Practice administration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lives inside the clinician app but is role-gated. It should read as organisation work, not clinical work — separate nav group, quieter chrome.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Entry states outside a practice: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50"/>
        <w:gridCol w:w="3248"/>
        <w:gridCol w:w="3248"/>
      </w:tblGrid>
      <w:tr>
        <w:trPr>
          <w:tblHeader/>
        </w:trPr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State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Route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Next step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Signed in, no membership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/no-practice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Create a practice or accept an invite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Create a 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/onboarding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 membership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PENDING_VERIFICATION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Accept invite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/invitations/[token]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Join as invited role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2_Canonical_vocabulary_3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2. Canonical vocabulary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The single highest-value thing this document does. The same word must mean the same thing in the schema, the URLs and the UI.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Terms_we_commit_to_4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Terms we commit to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250"/>
        <w:gridCol w:w="3248"/>
        <w:gridCol w:w="3248"/>
      </w:tblGrid>
      <w:tr>
        <w:trPr>
          <w:tblHeader/>
        </w:trPr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Term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Means</w:t>
            </w:r>
          </w:p>
        </w:tc>
        <w:tc>
          <w:tcPr>
            <w:tcW w:type="dxa" w:w="3248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Does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not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 mean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The tenant. A clinic as a business. The security wall.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branch of psychology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Area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subdivision inside a practice (Cognitive, Forensic, …). A room, not a wall.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tenant, a security boundary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Practitioner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human who delivers care. Rendered as “clinician” in UI copy.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user account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Membership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One person’s seat in one practice: role, areas, status. One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billing seat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when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ACTIVE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.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The person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Patient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person receiving care, recorded within one 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user, a login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Scale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The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4"/>
                <w:szCs w:val="24"/>
                <w:rtl w:val="false"/>
                <w:lang w:val="en-GB"/>
              </w:rPr>
              <w:t xml:space="preserve">template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— items, options, thresholds. PHQ-9 itself.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filled-in response set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Questionnaire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One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4"/>
                <w:szCs w:val="24"/>
                <w:rtl w:val="false"/>
                <w:lang w:val="en-GB"/>
              </w:rPr>
              <w:t xml:space="preserve">instance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of a Scale issued to a patient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The template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Appointment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ClinicalSession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whose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kind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is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APPOINTMENT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An auth session; a DIRECT send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Questionnaire send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ClinicalSession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whose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kind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is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DIRECT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An appointment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Batch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One issuance of the same questionnaire set to many patients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group of patients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Note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Clinical writing attached to a patient, appointment or questionnaire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 system comment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Care team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Named clinicians on a patient inside one 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Cross-practice sharing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Referral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Intra-practice handoff between areas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Cross-practice transfer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Patient access ladder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policy: who may see which patients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OPEN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AREA_SCOPED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ASSIGNED_ONLY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)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Per-user custom RBAC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Three_collisions_resolved_5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Three collisions resolved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“Session” is overloaded three ways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the NextAuth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Session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(login),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ClinicalSession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model, and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/sessions/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URL segment.</w:t>
      </w:r>
    </w:p>
    <w:p>
      <w:pPr>
        <w:bidi w:val="false"/>
        <w:spacing w:after="120" w:before="120"/>
        <w:ind w:left="7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Resolution: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ClinicalSession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keeps its name.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SessionKind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has two values;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DIRECT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row is not an appointment. In UI copy, say “appointment” only where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kind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APPOINTMENT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and “questionnaire send” for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DIRECT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 Never use the bare word “session” in user-facing copy for either.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“Scale” vs “Questionnaire”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Template = Scale. Issued instance = Questionnaire. The sidebar’s “Scales” library is correct.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“Practice”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A practice is a business; a branch of psychology is an Area. See multi-tenancy-design.md.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Words users say that we deliberately do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not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adopt as system terms: 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  <w:rtl w:val="false"/>
          <w:lang w:val="en-GB"/>
        </w:rPr>
        <w:t xml:space="preserve">assessment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(ambiguous), 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  <w:rtl w:val="false"/>
          <w:lang w:val="en-GB"/>
        </w:rPr>
        <w:t xml:space="preserve">client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(use patient), 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  <w:rtl w:val="false"/>
          <w:lang w:val="en-GB"/>
        </w:rPr>
        <w:t xml:space="preserve">doctor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(many practitioners are not), 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  <w:rtl w:val="false"/>
          <w:lang w:val="en-GB"/>
        </w:rPr>
        <w:t xml:space="preserve">test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(clinically loaded).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3_Content_model_6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3. Content model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The ownership tree. Read top to bottom as “contains / owns.”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Practice  ← the tenant; owns everything below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├── Membership → User            (role, areas, status)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├── Area                          (Cognitive, Forensic, …)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├── Scale (practice-owned)        + global library, + personal tier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├── Patient                       (anonymousId unique per practice)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├── care team → Membership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├── Appointment  [ClinicalSession]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│   ├── Questionnaire → Scale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│   │   ├── Response → ScaleItem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│   │   ├── Score + Severity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│   │   └── Note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│   └── Note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├── Questionnaire send (DIRECT — outside any appointment)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├── Note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│   └── Referral  (area → area inside the practice)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├── Batch → ClinicalSession[]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├── PracticeInvitation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└── AuditEntry                    (actor, practice, subject, action, at)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Invariants: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Every owned record carries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practiceId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No exceptions. It is the wall.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Ownership and authorship are separate.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practiceId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(who owns it) never changes;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authorId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/ actor (who did it) survives departure.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Areas are rooms, not walls.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Sharing a patient is adding an area or a care-team member — not a consent grant between businesses.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Cross-cutting objects outside the tree: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User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(a human, spans practices),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Notification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(per user, usually scoped to a practice), and the global Scale library.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4_Navigation_model_7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4. Navigation model</w:t>
      </w:r>
      <w:bookmarkEnd w:id="1"/>
    </w:p>
    <w:p>
      <w:pPr>
        <w:pStyle w:val="3"/>
        <w:pStyle w:val="Heading3"/>
        <w:bidi w:val="false"/>
        <w:spacing w:after="120" w:before="240"/>
        <w:jc w:val="left"/>
      </w:pPr>
      <w:bookmarkStart w:name="_Toc_Current_tenancy_phases_08_shipped_8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Current (tenancy phases 0–8 shipped)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[ Practice switcher ]              ← top of sidebar, always visible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Clinical    → Dashboard · Patients · Batches · Referrals*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Library     → Scales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Practice    → Team · Areas · Settings · Billing        (role-gated)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Account     → Account                                  (profile · password · notifications)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* Referrals appears only when the practice has at least one Area.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Plus a command palette (⌘K), global search, notification bell, and account menu in the header. Appointments remain nested under the patient for now.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Still_to_promote_9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Still to promote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Clinical    → … · Appointments (top-level) · …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Decisions_embedded_in_the_nav_10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Decisions embedded in the nav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The practice switcher sits at the top of the sidebar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not in the account menu. It scopes everything below it.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Practice vs Account.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Practice settings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/p/&lt;slug&gt;/settings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) are organisation and role-gated. Account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/account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) is the human and follows them across practices. Legacy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/settings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redirects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/account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Referrals appears only once Areas exist.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Do not ship an empty nav item.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Nav is filtered by role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never rendered-then-disabled.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Navigation_depth_rule_11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Navigation depth rule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Maximum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three levels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in the sidebar. Anything deeper is a tab, a filter, or a detail page reached from a list — never a nav item.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5_URL_architecture_12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5. URL architecture</w:t>
      </w:r>
      <w:bookmarkEnd w:id="1"/>
    </w:p>
    <w:p>
      <w:pPr>
        <w:pStyle w:val="3"/>
        <w:pStyle w:val="Heading3"/>
        <w:bidi w:val="false"/>
        <w:spacing w:after="120" w:before="240"/>
        <w:jc w:val="left"/>
      </w:pPr>
      <w:bookmarkStart w:name="_Toc_Practice_in_the_path_shipped_13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Practice in the path (shipped)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/p/[practiceSlug]/patients/[patientId]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Not implicit-from-session. Reasons: links are unambiguous across multi-practice membership; pasting a URL into Slack does not depend on the recipient’s active context; the back button behaves; a mismatch between URL and session is detectable.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Account, auth, public and patient zones stay unprefixed: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/account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/auth/*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/legal/*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/fill/[token]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/onboarding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/invitations/[token]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/no-practice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Fix_the_depth_problem_still_open_14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Fix the depth problem (still open)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The deepest route today is still too deep: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/p/[slug]/patients/[id]/sessions/[sessionId]/questionnaires/[questionnaireId]/report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Rule going forward: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every entity with a stable ID gets a canonical flat URL. Hierarchy expresses 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  <w:rtl w:val="false"/>
          <w:lang w:val="en-GB"/>
        </w:rPr>
        <w:t xml:space="preserve">context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not </w:t>
      </w:r>
      <w:r>
        <w:rPr>
          <w:rFonts w:ascii="Calibri" w:cs="Calibri" w:eastAsia="Calibri" w:hAnsi="Calibri"/>
          <w:i/>
          <w:iCs/>
          <w:color w:val="000000"/>
          <w:sz w:val="24"/>
          <w:szCs w:val="24"/>
          <w:rtl w:val="false"/>
          <w:lang w:val="en-GB"/>
        </w:rPr>
        <w:t xml:space="preserve">identity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canonical    /p/[slug]/questionnaires/[id]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             /p/[slug]/appointments/[id]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contextual   /p/[slug]/patients/[id]  → tabs: Overview · Appointments · Questionnaires · Notes · Details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URL_rules_15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URL rules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Plural collection, singular resource: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/patients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/patients/[id]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Nouns, not verbs — except deliberate actions: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/new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/edit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No entity nested more than one level below its parent (target state).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Never expose a guessable ID in a patient-facing URL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/fill/[token]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is correct.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/p/[slug]/…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for everything tenant-owned; no prefix for account, auth, public, or patient zones.</w:t>
      </w:r>
    </w:p>
    <w:p>
      <w:pPr>
        <w:pStyle w:val="3"/>
        <w:pStyle w:val="Heading3"/>
        <w:bidi w:val="false"/>
        <w:spacing w:after="120" w:before="240"/>
        <w:jc w:val="left"/>
      </w:pPr>
      <w:bookmarkStart w:name="_Toc_Housekeeping_16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Housekeeping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app/compare/{a,b,c}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are UI comparison prototypes in the production route tree. Move them behind a dev-only flag or delete them.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6_Screen_inventory_17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6. Screen inventory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Routes below are practice-prefixed where tenant-owned. Legacy unprefixed clinical URLs redirect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/practice-redirect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438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Screen</w:t>
            </w:r>
          </w:p>
        </w:tc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Route</w:t>
            </w:r>
          </w:p>
        </w:tc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Status</w:t>
            </w:r>
          </w:p>
        </w:tc>
        <w:tc>
          <w:tcPr>
            <w:tcW w:type="dxa" w:w="2436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Landing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Public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Legal (privacy, terms, retention)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/legal/*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named as controller; APAS as platform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Sign in / up / verify / reset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/auth/*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No 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/no-practice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Create practice or accept invite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onboarding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/onboarding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Self-serve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PENDING_VERIFICATION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Accept invitation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/invitations/[token]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Existing-user path is one click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Dashboard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/p/[slug]/dashboard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Caseload, alerts; verification banner when pending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Patients list / detail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/p/[slug]/patients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…/[id]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Access ladder applied; Details tab for areas / care team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Appointment / send detail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nested under patient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Promote later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/appointments/[id]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Questionnaire + report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nested under patient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Promote later to canonical URL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Batches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/p/[slug]/batches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Scales library / builder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/p/[slug]/scales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Ownership tiers (practice / library / personal)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Team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/p/[slug]/team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Members, roles, invites, offboarding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Areas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/p/[slug]/areas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CRUD + patient access ladder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Referrals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/p/[slug]/referrals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Inbox + outbox; nav when areas exist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settings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/p/[slug]/settings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Profile, branding, activate, access ladder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Billing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/p/[slug]/billing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Seats = ACTIVE memberships; checkout placeholder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Account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/account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Profile, password, notifications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 fill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/fill/[token]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…/complete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branding; no clinician shell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Audit log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/p/[slug]/audit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Planned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Owner/Admin only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7_Page_anatomy_18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7. Page anatomy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DashboardShell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└── AppSidebar          practice switcher · nav groups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└── DashboardHeader     breadcrumbs · search · notifications · account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    └── PageShell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        └── VerificationBanner   (when practice not ACTIVE)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        └── PageHeader           title · context · primary action (max one)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            └── SectionHeader…</w:t>
      </w:r>
      <w:r>
        <w:rPr>
          <w:rFonts w:ascii="Courier New" w:cs="Courier New" w:eastAsia="Courier New" w:hAnsi="Courier New"/>
          <w:sz w:val="20"/>
          <w:szCs w:val="20"/>
          <w:rtl w:val="false"/>
          <w:lang w:val="en-GB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  <w:lang w:val="en-GB"/>
        </w:rPr>
        <w:t xml:space="preserve">                └── content | EmptyState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Rules: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One primary action per page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, top right. Everything else is secondary or lives in a row-level menu.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Every list has an authored empty state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— what this is, why it is empty, the one action that fixes it.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Breadcrumbs carry hierarchy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as URLs flatten. They are how a clinician knows which patient a questionnaire belongs 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Severity is always rendered by the severity badge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from DESIGN.md. Never an ad-hoc coloured span.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8_Search_command_palette_notifications_19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8. Search, command palette, notifications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Search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indexes patients (display name, anonymous ID), scales and batches within the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active practice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 It must stay hard-scoped to the practice in context.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Command palette (⌘K)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is navigation + search, not a second app. Actions appear only when the role permits them. Account paths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/account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) are not practice-prefixed.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Notifications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are per user and usually per practice. Suicidal-ideation is the deliberate exception: it may surface across a user’s practices, clearly labelled with its practice. See multi-tenancy-design.md §9.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9_Permission_surface_20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9. Permission surface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Navigation is filtered by role — never rendered-then-disabled.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Fixed roles only. No practice-defined custom RBAC. Practices tune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policy knobs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(access ladder, branding, verification) instead.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626"/>
        <w:gridCol w:w="1624"/>
        <w:gridCol w:w="1624"/>
        <w:gridCol w:w="1624"/>
        <w:gridCol w:w="1624"/>
        <w:gridCol w:w="1624"/>
      </w:tblGrid>
      <w:tr>
        <w:trPr>
          <w:tblHeader/>
        </w:trPr>
        <w:tc>
          <w:tcPr>
            <w:tcW w:type="dxa" w:w="1624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Capability / surface</w:t>
            </w:r>
          </w:p>
        </w:tc>
        <w:tc>
          <w:tcPr>
            <w:tcW w:type="dxa" w:w="1624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Owner</w:t>
            </w:r>
          </w:p>
        </w:tc>
        <w:tc>
          <w:tcPr>
            <w:tcW w:type="dxa" w:w="1624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Admin</w:t>
            </w:r>
          </w:p>
        </w:tc>
        <w:tc>
          <w:tcPr>
            <w:tcW w:type="dxa" w:w="1624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Clinician</w:t>
            </w:r>
          </w:p>
        </w:tc>
        <w:tc>
          <w:tcPr>
            <w:tcW w:type="dxa" w:w="1624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Supervisor</w:t>
            </w:r>
          </w:p>
        </w:tc>
        <w:tc>
          <w:tcPr>
            <w:tcW w:type="dxa" w:w="1624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Front desk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Dashboard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limited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Patients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 (no notes/scores)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Notes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✗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Scores / reports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✗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Scales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Referrals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Team / Areas / Practice settings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Billing / Activate practice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Audit log (planned)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✓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—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Patient access ladder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(Owner/Admin always see the full caseload; everyone else follows the practice setting):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Mode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Meaning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OPEN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(default)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Any active member sees the practice caseload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AREA_SCOPED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Members see patients in their areas (and care-team assignments)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ASSIGNED_ONLY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Members see only patients where they are on the care team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Front desk seeing scheduling but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not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clinical content remains the most important clinical boundary.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0_Placement_rules_21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10. Placement rules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When adding something new, decide in this order: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Does it belong to a practice?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If yes it carries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practiceId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and lives under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/p/[slug]/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 If it belongs to a human across practices, it is Account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/account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Is it a new noun, or a view of an existing one?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New nouns get a route and possibly a nav item. Views get a tab or a filter. Most things are views.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Nav item, tab, or detail page?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Nav item only if a user goes there directly and often. Tab if it is one facet of a resource. Detail page if it is reached from a list.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Which role sees it?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If the answer is “everyone,” check again — most new surfaces are role-specific.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What is its empty state, and its name in §2?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 If the name is not in the vocabulary table, add it there first.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1_Practice_lifecycle_22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11. Practice lifecycle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Status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What staff can do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PENDING_VERIFICATION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Configure practice, areas, settings. Cannot create patients or invite staff.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ACTIVE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Full clinical and team operations.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SUSPENDED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Writes blocked; contact support path later.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Activation (Owner): registration / licence number + contact email present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  <w:lang w:val="en-GB"/>
        </w:rPr>
        <w:t xml:space="preserve">POST /api/practice/activate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 Self-serve for v1; a human review queue can replace the activate step later without changing the status field.</w:t>
      </w:r>
    </w:p>
    <w:p>
      <w:pPr>
        <w:bidi w:val="false"/>
        <w:spacing w:after="240" w:before="240" w:line="276"/>
        <w:jc w:val="left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Billing: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  <w:rtl w:val="false"/>
          <w:lang w:val="en-GB"/>
        </w:rPr>
        <w:t xml:space="preserve">one seat = one ACTIVE membership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 A clinician in three practices costs three seats. Checkout is not wired yet.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  <w:jc w:val="left"/>
      </w:pPr>
      <w:bookmarkStart w:name="_Toc__12_Decisions_log_23" w:id="1"/>
      <w:r>
        <w:rPr>
          <w:rFonts w:ascii="Calibri" w:cs="Calibri" w:eastAsia="Calibri" w:hAnsi="Calibri"/>
          <w:color w:val="000000"/>
          <w:sz w:val="28"/>
          <w:szCs w:val="28"/>
          <w:rtl w:val="false"/>
          <w:lang w:val="en-GB"/>
        </w:rPr>
        <w:t xml:space="preserve">12. Decisions log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Decision</w:t>
            </w:r>
          </w:p>
        </w:tc>
        <w:tc>
          <w:tcPr>
            <w:tcW w:type="dxa" w:w="4873"/>
            <w:shd w:fill="DDDDDD"/>
          </w:tcPr>
          <w:p>
            <w:pPr>
              <w:pStyle w:val="Strong"/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Outcome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slug in URL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Shipped: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/p/[slug]/…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ClinicalSession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rename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Kept — covers APPOINTMENT and DIRECT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Role list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Owner / Admin / Clinician / Supervisor / Front desk — fixed, not custom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Default patient access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OPEN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Hide Areas for solo practices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No — show with empty state if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manageAreas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Practice creation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Self-serve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  <w:lang w:val="en-GB"/>
              </w:rPr>
              <w:t xml:space="preserve">PENDING_VERIFICATION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→ activate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Billing seat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ACTIVE memberships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Cross-practice patient sharing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  <w:rtl w:val="false"/>
                <w:lang w:val="en-GB"/>
              </w:rPr>
              <w:t xml:space="preserve">Not building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  <w:rtl w:val="false"/>
                <w:lang w:val="en-GB"/>
              </w:rPr>
              <w:t xml:space="preserve"> until a real customer needs it</w:t>
            </w:r>
          </w:p>
        </w:tc>
      </w:tr>
    </w:tbl>
    <w:p>
      <w:pPr>
        <w:pStyle w:val="3"/>
        <w:pStyle w:val="Heading3"/>
        <w:bidi w:val="false"/>
        <w:spacing w:after="120" w:before="240"/>
        <w:jc w:val="left"/>
      </w:pPr>
      <w:bookmarkStart w:name="_Toc_Still_open_24" w:id="1"/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Still open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Promote Appointments and Questionnaires to canonical flat URLs.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Fate of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  <w:lang w:val="en-GB"/>
        </w:rPr>
        <w:t xml:space="preserve">app/compare/*</w:t>
      </w: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Payment provider / checkout for seats.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alibri" w:cs="Calibri" w:eastAsia="Calibri" w:hAnsi="Calibri"/>
          <w:color w:val="000000"/>
          <w:sz w:val="24"/>
          <w:szCs w:val="24"/>
          <w:rtl w:val="false"/>
          <w:lang w:val="en-GB"/>
        </w:rPr>
        <w:t xml:space="preserve">Audit log UI.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left"/>
    </w:pPr>
    <w:r>
      <w:rPr>
        <w:rFonts w:ascii="Calibri" w:cs="Calibri" w:eastAsia="Calibri" w:hAnsi="Calibri"/>
        <w:sz w:val="24"/>
        <w:szCs w:val="24"/>
        <w:rtl w:val="false"/>
        <w:lang w:val="en-GB"/>
      </w:rPr>
      <w:t xml:space="preserve">Confidential · Internal product reference</w:t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jc w:val="left"/>
    </w:pPr>
    <w:r>
      <w:rPr>
        <w:rFonts w:ascii="Calibri" w:cs="Calibri" w:eastAsia="Calibri" w:hAnsi="Calibri"/>
        <w:sz w:val="24"/>
        <w:szCs w:val="24"/>
        <w:rtl w:val="false"/>
        <w:lang w:val="en-GB"/>
      </w:rPr>
      <w:t xml:space="preserve">APAS · Information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GB"/>
      </w:rPr>
    </w:rPrDefault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rFonts w:ascii="Calibri" w:cs="Calibri" w:eastAsia="Calibri" w:hAnsi="Calibri"/>
      <w:b/>
      <w:bCs/>
      <w:color w:val="000000"/>
      <w:sz w:val="32"/>
      <w:szCs w:val="32"/>
      <w:lang w:val="en-GB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Calibri" w:cs="Calibri" w:eastAsia="Calibri" w:hAnsi="Calibri"/>
      <w:b/>
      <w:bCs/>
      <w:color w:val="000000"/>
      <w:sz w:val="32"/>
      <w:szCs w:val="32"/>
      <w:lang w:val="en-GB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Calibri" w:cs="Calibri" w:eastAsia="Calibri" w:hAnsi="Calibri"/>
      <w:b/>
      <w:bCs/>
      <w:color w:val="000000"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Calibri" w:cs="Calibri" w:eastAsia="Calibri" w:hAnsi="Calibri"/>
      <w:b/>
      <w:bCs/>
      <w:color w:val="000000"/>
      <w:sz w:val="24"/>
      <w:szCs w:val="24"/>
      <w:lang w:val="en-GB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Calibri" w:cs="Calibri" w:eastAsia="Calibri" w:hAnsi="Calibri"/>
      <w:b/>
      <w:bCs/>
      <w:color w:val="000000"/>
      <w:sz w:val="20"/>
      <w:szCs w:val="20"/>
      <w:lang w:val="en-GB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Calibri" w:cs="Calibri" w:eastAsia="Calibri" w:hAnsi="Calibri"/>
      <w:b/>
      <w:bCs/>
      <w:color w:val="000000"/>
      <w:sz w:val="16"/>
      <w:szCs w:val="16"/>
      <w:lang w:val="en-GB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Calibri" w:cs="Calibri" w:eastAsia="Calibri" w:hAnsi="Calibri"/>
      <w:b/>
      <w:bCs/>
      <w:color w:val="000000"/>
      <w:sz w:val="12"/>
      <w:szCs w:val="12"/>
      <w:lang w:val="en-GB"/>
    </w:rPr>
  </w:style>
  <w:style w:type="paragraph" w:styleId="Strong">
    <w:name w:val="Strong"/>
    <w:basedOn w:val="Normal"/>
    <w:next w:val="Normal"/>
    <w:qFormat/>
    <w:rPr>
      <w:rFonts w:ascii="Calibri" w:cs="Calibri" w:eastAsia="Calibri" w:hAnsi="Calibri"/>
      <w:b/>
      <w:bCs/>
      <w:lang w:val="en-GB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dc="http://purl.org/dc/elements/1.1/" xmlns:dcterms="http://purl.org/dc/terms/" xmlns:xsi="http://www.w3.org/2001/XMLSchema-instance" xmlns:cp="http://schemas.openxmlformats.org/package/2006/metadata/core-properties">
  <dc:title xmlns:dc="http://purl.org/dc/elements/1.1/">Information Architecture — APAS</dc:title>
  <dc:subject xmlns:dc="http://purl.org/dc/elements/1.1/">Governing reference for APAS structure, vocabulary, URLs and placement</dc:subject>
  <dc:description xmlns:dc="http://purl.org/dc/elements/1.1/">Information architecture v2, updated 2026-08-04</dc:description>
  <dc:creator xmlns:dc="http://purl.org/dc/elements/1.1/">APAS</dc:creator>
  <dc:language xmlns:dc="http://purl.org/dc/elements/1.1/"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