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  <w:jc w:val="left"/>
      </w:pPr>
      <w:bookmarkStart w:name="_Toc_Product_Requirements_Document_APAS_1" w:id="1"/>
      <w:r>
        <w:rPr>
          <w:rFonts w:ascii="Calibri" w:cs="Calibri" w:eastAsia="Calibri" w:hAnsi="Calibri"/>
          <w:color w:val="000000"/>
          <w:sz w:val="32"/>
          <w:szCs w:val="32"/>
          <w:rtl w:val="false"/>
          <w:lang w:val="en-GB"/>
        </w:rPr>
        <w:t xml:space="preserve">Product Requirements Document — APAS</w:t>
      </w:r>
      <w:bookmarkEnd w:id="1"/>
    </w:p>
    <w:p>
      <w:pPr>
        <w:pBdr>
          <w:bottom w:val="single" w:color="A6A6A6" w:sz="6" w:space="1"/>
        </w:pBdr>
        <w:spacing w:after="120" w:before="120"/>
      </w:pPr>
    </w:p>
    <w:p>
      <w:pPr>
        <w:pStyle w:val="Heading1"/>
        <w:bidi w:val="false"/>
        <w:spacing w:after="240"/>
        <w:jc w:val="center"/>
      </w:pPr>
      <w:r>
        <w:t xml:space="preserve">Contents</w:t>
      </w:r>
    </w:p>
    <w:p>
      <w:pPr>
        <w:bidi w:val="false"/>
        <w:spacing w:after="120"/>
        <w:ind w:left="0"/>
      </w:pPr>
      <w:hyperlink w:history="1" w:anchor="_Toc_Product_Requirements_Document_APAS_1">
        <w:r>
          <w:rPr>
            <w:rFonts w:ascii="Calibri" w:cs="Calibri" w:eastAsia="Calibri" w:hAnsi="Calibri"/>
            <w:b/>
            <w:bCs/>
            <w:i w:val="false"/>
            <w:iCs w:val="false"/>
            <w:sz w:val="24"/>
            <w:szCs w:val="24"/>
            <w:rtl w:val="false"/>
            <w:lang w:val="en-GB"/>
          </w:rPr>
          <w:t xml:space="preserve">Product Requirements Document — APAS</w:t>
        </w:r>
      </w:hyperlink>
    </w:p>
    <w:p>
      <w:pPr>
        <w:bidi w:val="false"/>
        <w:spacing w:after="120"/>
        <w:ind w:left="400"/>
      </w:pPr>
      <w:hyperlink w:history="1" w:anchor="_Toc__1_Summary_2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1. Summary</w:t>
        </w:r>
      </w:hyperlink>
    </w:p>
    <w:p>
      <w:pPr>
        <w:bidi w:val="false"/>
        <w:spacing w:after="120"/>
        <w:ind w:left="400"/>
      </w:pPr>
      <w:hyperlink w:history="1" w:anchor="_Toc__2_Problem_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2. Problem</w:t>
        </w:r>
      </w:hyperlink>
    </w:p>
    <w:p>
      <w:pPr>
        <w:bidi w:val="false"/>
        <w:spacing w:after="120"/>
        <w:ind w:left="400"/>
      </w:pPr>
      <w:hyperlink w:history="1" w:anchor="_Toc__3_Goals_and_nongoals_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3. Goals and non-goals</w:t>
        </w:r>
      </w:hyperlink>
    </w:p>
    <w:p>
      <w:pPr>
        <w:bidi w:val="false"/>
        <w:spacing w:after="120"/>
        <w:ind w:left="400"/>
      </w:pPr>
      <w:hyperlink w:history="1" w:anchor="_Toc__4_Users_and_personas_7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4. Users and personas</w:t>
        </w:r>
      </w:hyperlink>
    </w:p>
    <w:p>
      <w:pPr>
        <w:bidi w:val="false"/>
        <w:spacing w:after="120"/>
        <w:ind w:left="400"/>
      </w:pPr>
      <w:hyperlink w:history="1" w:anchor="_Toc__5_Product_principles_8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5. Product principles</w:t>
        </w:r>
      </w:hyperlink>
    </w:p>
    <w:p>
      <w:pPr>
        <w:bidi w:val="false"/>
        <w:spacing w:after="120"/>
        <w:ind w:left="400"/>
      </w:pPr>
      <w:hyperlink w:history="1" w:anchor="_Toc__6_Core_concepts_9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6. Core concepts</w:t>
        </w:r>
      </w:hyperlink>
    </w:p>
    <w:p>
      <w:pPr>
        <w:bidi w:val="false"/>
        <w:spacing w:after="120"/>
        <w:ind w:left="400"/>
      </w:pPr>
      <w:hyperlink w:history="1" w:anchor="_Toc__7_Current_product_scope_10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7. Current product scope</w:t>
        </w:r>
      </w:hyperlink>
    </w:p>
    <w:p>
      <w:pPr>
        <w:bidi w:val="false"/>
        <w:spacing w:after="120"/>
        <w:ind w:left="400"/>
      </w:pPr>
      <w:hyperlink w:history="1" w:anchor="_Toc__8_Functional_requirements_17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8. Functional requirements</w:t>
        </w:r>
      </w:hyperlink>
    </w:p>
    <w:p>
      <w:pPr>
        <w:bidi w:val="false"/>
        <w:spacing w:after="120"/>
        <w:ind w:left="400"/>
      </w:pPr>
      <w:hyperlink w:history="1" w:anchor="_Toc__9_User_journeys_2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9. User journeys</w:t>
        </w:r>
      </w:hyperlink>
    </w:p>
    <w:p>
      <w:pPr>
        <w:bidi w:val="false"/>
        <w:spacing w:after="120"/>
        <w:ind w:left="400"/>
      </w:pPr>
      <w:hyperlink w:history="1" w:anchor="_Toc__10_Success_metrics_29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10. Success metrics</w:t>
        </w:r>
      </w:hyperlink>
    </w:p>
    <w:p>
      <w:pPr>
        <w:bidi w:val="false"/>
        <w:spacing w:after="120"/>
        <w:ind w:left="400"/>
      </w:pPr>
      <w:hyperlink w:history="1" w:anchor="_Toc__11_Constraints_and_compliance_30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11. Constraints and compliance</w:t>
        </w:r>
      </w:hyperlink>
    </w:p>
    <w:p>
      <w:pPr>
        <w:bidi w:val="false"/>
        <w:spacing w:after="120"/>
        <w:ind w:left="400"/>
      </w:pPr>
      <w:hyperlink w:history="1" w:anchor="_Toc__12_UX_and_design_requirements_31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12. UX and design requirements</w:t>
        </w:r>
      </w:hyperlink>
    </w:p>
    <w:p>
      <w:pPr>
        <w:bidi w:val="false"/>
        <w:spacing w:after="120"/>
        <w:ind w:left="400"/>
      </w:pPr>
      <w:hyperlink w:history="1" w:anchor="_Toc__13_Risks_and_mitigations_32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13. Risks and mitigations</w:t>
        </w:r>
      </w:hyperlink>
    </w:p>
    <w:p>
      <w:pPr>
        <w:bidi w:val="false"/>
        <w:spacing w:after="120"/>
        <w:ind w:left="400"/>
      </w:pPr>
      <w:hyperlink w:history="1" w:anchor="_Toc__14_Rollout_posture_3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14. Rollout posture</w:t>
        </w:r>
      </w:hyperlink>
    </w:p>
    <w:p>
      <w:pPr>
        <w:bidi w:val="false"/>
        <w:spacing w:after="120"/>
        <w:ind w:left="400"/>
      </w:pPr>
      <w:hyperlink w:history="1" w:anchor="_Toc__15_Open_decisions_3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15. Open decisions</w:t>
        </w:r>
      </w:hyperlink>
    </w:p>
    <w:p>
      <w:pPr>
        <w:bidi w:val="false"/>
        <w:spacing w:after="120"/>
        <w:ind w:left="400"/>
      </w:pPr>
      <w:hyperlink w:history="1" w:anchor="_Toc__16_Document_control_35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16. Document control</w:t>
        </w:r>
      </w:hyperlink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Field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Value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Product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APAS (Automated Psychological Assessment Scoring) · Clinical Overwatch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Document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Product Requirements Document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Version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1.0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Date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4 August 2026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Product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Audience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Engineering, design, clinical advisors, go-to-market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Classification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Confidential · Internal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Related documents: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PRODUCT.md (positioning), information-architecture.md, multi-tenancy-design.md, tenancy-implementation-plan.md, DESIGN.md (visual system).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_Summary_2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1. Summary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APAS is a web application for mental-health practices. It turns psychology questionnaire responses into scores, severity classifications, and actionable alerts.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Clinicians send patients a secure, single-use link. Patients complete the instrument without creating an account. APAS scores responses instantly, tracks severity over time, and shows who needs attention now.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The product is practice-tenanted.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practice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(clinic) is the unit of data custody, billing, and access. Staff join through memberships and fixed roles.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Areas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organise work inside a practice; they are not a second security wall.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Primary outcome: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 clinician can answer “Who needs my attention right now?” in under ten seconds from the dashboard — faster and more reliably than paper scoring.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2_Problem_3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2. Problem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Licensed clinicians need reliable scoring and risk signal without becoming an IT department. Today, many practices still rely on paper or spreadsheets.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Pain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Without APAS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Manual scoring is slow and error-prone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Paper or spreadsheet scoring between sessions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Severity trends are hard to see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Scattered PDFs or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Critical signals can be missed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No reliable path for suicidal ideation or threshold alerts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Solo tools break as clinics grow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One login maps to one caseload; no clear team or custody model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Patients should not need accounts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Portals and emailed forms add friction and risk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APAS exists so clinicians get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decision support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scores and alerts as input to judgment, never a substitute for it — inside a practice that can grow from solo to multi-clinician without leaking data across businesses.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3_Goals_and_nongoals_4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3. Goals and non-goals</w:t>
      </w:r>
      <w:bookmarkEnd w:id="1"/>
    </w:p>
    <w:p>
      <w:pPr>
        <w:pStyle w:val="3"/>
        <w:pStyle w:val="Heading3"/>
        <w:bidi w:val="false"/>
        <w:spacing w:after="120" w:before="240"/>
        <w:jc w:val="left"/>
      </w:pPr>
      <w:bookmarkStart w:name="_Toc__31_Goals_5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3.1 Goals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Clinical signal first.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Severity and suicidal-ideation alerts are impossible to overlook. The dashboard answers “who needs me?” immediately.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Zero-training clinician UX.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Standard affordances only. Usable between sessions on any device.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Practice as the wall.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All clinical data belongs to a practice. Access is membership, role, and access ladder.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Patient safety and privacy.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Patients are pseudonymous by default. Identity is collected only with consent. The practice is named as data controller. The fill flow has no clinician shell.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Trust through exactness.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Real instrument names, exact scores, and timestamps. No wellness gamification.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32_Nongoals_current_horizon_6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3.2 Non-goals (current horizon)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Cross-practice patient sharing or a linked person identity across businesses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Practice-defined custom RBAC (roles are fixed; practices tune policy knobs)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Native mobile apps (responsive web only)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Positioning APAS as a medical device or diagnostic authority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Live payment checkout (seat model is defined; billing UI is a placeholder)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Consumer patient accounts or portals beyond the fill link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4_Users_and_personas_7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4. Users and personas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Early market: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Solo and small practices. Domain experts, not IT departments.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50"/>
        <w:gridCol w:w="3248"/>
        <w:gridCol w:w="3248"/>
      </w:tblGrid>
      <w:tr>
        <w:trPr>
          <w:tblHeader/>
        </w:trPr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Persona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Needs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Primary surfaces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Create and activate the practice; billing seats; team; settings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Onboarding, Practice settings, Billing, Team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Organise team, areas, and access ladder; not clinical content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Team, Areas, Practice settings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Clinician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Caseload, send assessments, notes, scores, referrals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Dashboard, Patients, Scales, Batches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Supervisor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Clinical tools plus supervisee visibility as designed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Dashboard, Patients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Front desk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Scheduling and send logistics; no notes or scores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Patients (limited), batches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Complete one questionnaire securely; understand consent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Fill link only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5_Product_principles_8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5. Product principles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Severity outranks everything.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Clinical risk owns the loudest visual channel.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Data density over decoration.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Prefer one more real number to empty polish.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Practice is the wall; area is a room.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Never confuse organisation with tenancy.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Navigation is filtered by role.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Never show-then-disable surfaces people cannot use.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Accessibility is clinical safety.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 missed alert is a safety failure, not a UX nit.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Decision support, not diagnosis.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Product and legal copy must never imply otherwise.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6_Core_concepts_9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6. Core concepts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Term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Definition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The tenant or clinic. Legal custodian, billing unit, and security boundary.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Membership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One person’s seat in one practice (role and status). ACTIVE equals one billable seat.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Area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subdivision inside a practice (for example Cognitive). Organisational only.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Scale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Instrument template (PHQ-9, GAD-7, or custom).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Questionnaire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One issued instance of a scale to a patient.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Clinical session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An appointment or a direct questionnaire send (two kinds).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 access ladder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policy: Open, Area-scoped, or Assigned-only.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Care team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Named clinicians on a patient inside one practice.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Referral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Intra-practice handoff between areas.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Full vocabulary is maintained in information-architecture.md, section 2.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7_Current_product_scope_10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7. Current product scope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This section describes capabilities the product must continue to support. Tenancy phases 0 through 8 are implemented.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71_Auth_and_account_11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7.1 Auth and account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Sign up, sign in, email verification, and password reset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Account settings (profile, password, notifications) at /account — scoped to the human, not a practice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Signed in with no practice lands on /no-practice, then create a practice or accept an invite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72_Practice_lifecycle_12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7.2 Practice lifecycle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Status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Behaviour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Pending verification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Staff may configure the practice; they cannot create patients or invite staff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Active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Full clinical and team operations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Suspended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Writes are blocked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Additional behaviour: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Self-serve create at /onboarding creates an Owner membership in pending status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Owner activates after registration or licence number and contact email are present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Practice settings cover profile, branding tagline, and access ladder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Billing seats equal ACTIVE memberships; checkout is not wired yet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73_Clinical_workflow_13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7.3 Clinical workflow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Dashboard with caseload, alerts, and status band; verification banner when pending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Patients: create and detail (sessions, scores, notes, areas, care team)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Questionnaire sends: appointments, direct sends, and batches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Scales library and custom scale builder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Notes and scores gated by role (Admin and Front desk excluded from clinical content)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Notifications for severity and suicidal ideation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74_Patient_fill_14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7.4 Patient fill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Token URL under /fill/[token] — no account and no clinician chrome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Consent first; optional identity collection only when enabled and consented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Practice named as controller; APAS as platform; optional practice tagline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75_Team_and_organisation_15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7.5 Team and organisation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Team: invite, roles, offboarding; block offboarding if patients remain assigned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Areas: create and manage; membership areas applied on invite accept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Patient access ladder (Owner and Admin always see the full caseload)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Care teams and referrals inbox or outbox (Referrals nav appears when areas exist)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Practice switcher for multi-practice users; tenant URLs under /p/[slug]/…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76_Platform_and_security_must_not_regre_16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7.6 Platform and security (must not regress)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Every owned record carries a practice identifier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Data access goes through a practice-scoped database accessor, with row-level security as defence in depth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Tenancy seam checks run in CI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Audit entries are written for practice-significant actions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8_Functional_requirements_17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8. Functional requirements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Priority legend: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P0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Must for the current product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P1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Next horizon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P2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Later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81_Clinical_overwatch_P0_18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8.1 Clinical overwatch (P0)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ID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Requirement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C-1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Score supported scales (library and practice or custom) when a questionnaire is submitted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C-2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Persist severity and show it consistently with the severity badge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C-3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Raise and display alerts for threshold crossings and suicidal ideation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C-4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Dashboard shows who needs attention, with critical and open alert counts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C-5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Longitudinal score history is visible on the patient record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C-6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Patients receive secure single-use, expiring fill links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_82_Practice_tenancy_P0_19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8.2 Practice tenancy (P0)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ID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Requirement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T-1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Users act only inside an active membership’s practice context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T-2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Tenant URLs include /p/[slug]/… and resolve membership correctly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T-3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Cross-practice data access is denied by application scoping and RLS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T-4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Roles are fixed: Owner, Admin, Clinician, Supervisor, Front desk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T-5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Pending practices cannot create patients or invite staff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T-6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 visibility respects Owner/Admin override and the access ladder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_83_Team_and_organisation_P0_20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8.3 Team and organisation (P0)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ID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Requirement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O-1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Owners and Admins invite by email with a role and optional areas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O-2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Existing users accept invites in one click; new users can sign up then join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O-3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Offboarding marks membership departed and blocks if patients remain assigned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O-4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Areas and care teams support Area-scoped and Assigned-only modes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O-5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Intra-practice referrals support accept and decline with correct side effects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_84_Trust_legal_and_branding_P0_21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8.4 Trust, legal, and branding (P0)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ID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Requirement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L-1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Patients are pseudonymous by default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L-2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Identity details require explicit consent on the fill flow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L-3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Legal and consent copy name the practice as data controller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L-4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The fill shell shows the practice name and optional tagline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_85_Nearterm_P1_22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8.5 Near-term (P1)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ID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Requirement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N-1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Payment checkout for seats (provider to be decided)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N-2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Optional human verification queue to replace or gate self-serve activate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N-3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Canonical flat URLs for appointments and questionnaires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N-4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Top-level Appointments navigation for “what is on today”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N-5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Audit log UI for Owner and 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N-6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Clearer multi-practice notification badges on the practice switcher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_86_Later_P2_23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8.6 Later (P2)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ID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Requirement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F-1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Cross-practice sharing with consent grants, only when a customer needs 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F-2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Deeper supervisor workflows (co-sign, supervisee caseloads)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F-3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Richer scale marketplace and verified library governance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F-4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Reporting and export packs for practice admins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9_User_journeys_24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9. User journeys</w:t>
      </w:r>
      <w:bookmarkEnd w:id="1"/>
    </w:p>
    <w:p>
      <w:pPr>
        <w:pStyle w:val="3"/>
        <w:pStyle w:val="Heading3"/>
        <w:bidi w:val="false"/>
        <w:spacing w:after="120" w:before="240"/>
        <w:jc w:val="left"/>
      </w:pPr>
      <w:bookmarkStart w:name="_Toc__91_Solo_clinician_day_one_25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9.1 Solo clinician, day one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Sign up and verify email; land with no practice.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Create a practice on /onboarding.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Enter registration or licence number and contact email; activate.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Add a patient; send a PHQ-9 link; patient completes the fill flow.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Dashboard shows score and severity; open the patient for detail.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92_Invite_a_colleague_26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9.2 Invite a colleague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Owner or Admin opens Team and invites by email with role (and optional areas).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Colleague accepts (existing account or after sign-up).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Colleague works in the practice; caseload follows the access ladder.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93_Multiarea_clinic_27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9.3 Multi-area clinic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Admin creates areas and sets the access ladder if needed.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Patients are assigned areas or care-team members on the Details tab.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 clinician refers a patient to another area; the receiver accepts; area and care team update.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94_Patient_fill_28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9.4 Patient fill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Patient opens the link, sees the practice name, and consents.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Optional details or intake appear only when enabled.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Patient completes questionnaire(s), sees thank-you, and has no further access.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0_Success_metrics_29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10. Success metrics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50"/>
        <w:gridCol w:w="3248"/>
        <w:gridCol w:w="3248"/>
      </w:tblGrid>
      <w:tr>
        <w:trPr>
          <w:tblHeader/>
        </w:trPr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Metric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Intent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Initial target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Time to first scored assessment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Activation to value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Under 30 minutes for a guided new practice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Dashboard attention time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Core job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Under 10 seconds to identify priority patients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SI and critical alert visibility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Safety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Alerts visible on next session load; no silent drop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Invite accept rate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Team growth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Track and reduce friction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Fill completion rate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 experience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Track by scale; investigate drop-offs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Cross-tenant incidents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Trust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Zero tolerated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Qualitative success: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Clinicians trust scores enough to replace paper for routine instruments. Owners can explain who sees which patients.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1_Constraints_and_compliance_30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11. Constraints and compliance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Not a medical device.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Decision support only. Clinical judgment remains with the practitioner.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Not an emergency service.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Crisis copy directs people to local emergency or crisis lines.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Data controller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is the practice. APAS is the platform in product and legal copy.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Accessibility.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Keyboard-complete critical flows, AA contrast, and alerts announced to assistive technology.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Security.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Practice-scoped data access, invitation tokens, expiring fill tokens, and an audit trail.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Legal pages under /legal/* must stay aligned with this posture.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2_UX_and_design_requirements_31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12. UX and design requirements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Auth may be brand-forward. After login, the product is task UI.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Severity colours are reserved for clinical risk only.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Every primary list has an authored empty state.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One primary action per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The patient zone never inherits clinician navigation.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Visual tokens and the severity ramp are defined in DESIGN.md.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3_Risks_and_mitigations_32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13. Risks and mitigations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Risk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Mitigation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Tenancy bug leaks data across practices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Scoped database access, RLS, leak tests, CI seam check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Alert fatigue or missed suicidal ideation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Dedicated notification types, severity hierarchy, carefully labelled SI exception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Verification too weak or too hard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Self-serve activate for v1; status field ready for human review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Deep nested URLs become brittle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Flatten appointments and questionnaires (P1)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Billing not wired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Seat definition is shipped; do not invent a second inventory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4_Rollout_posture_33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14. Rollout posture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Tenancy phases 0 through 8 are the multi-practice baseline.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New features must not bypass the practice identifier or the scoped data accessor.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Prefer progressive disclosure (for example, Referrals appears only when areas exist).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Seed or demo practices may start Active for internal use. Real signups start Pending verification.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5_Open_decisions_34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15. Open decisions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Topic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Payment provider and pricing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Open (seat unit decided)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Human verification versus self-serve activate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Self-serve now; queue optional later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Appointments top-level nav and flat URLs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Planned (P1)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Cross-practice sharing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Explicitly deferred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Fate of app/compare prototypes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Open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6_Document_control_35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16. Document control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50"/>
        <w:gridCol w:w="3248"/>
        <w:gridCol w:w="3248"/>
      </w:tblGrid>
      <w:tr>
        <w:trPr>
          <w:tblHeader/>
        </w:trPr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Version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Date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1.0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4 August 2026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Initial PRD reflecting shipped tenancy and clinical overwatch core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When requirements change, update this PRD together with the information architecture and tenancy companions so vocabulary and routes do not drift.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left"/>
    </w:pPr>
    <w:r>
      <w:rPr>
        <w:rFonts w:ascii="Calibri" w:cs="Calibri" w:eastAsia="Calibri" w:hAnsi="Calibri"/>
        <w:sz w:val="24"/>
        <w:szCs w:val="24"/>
        <w:rtl w:val="false"/>
        <w:lang w:val="en-GB"/>
      </w:rPr>
      <w:t xml:space="preserve">Confidential · Internal · v1.0</w:t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jc w:val="left"/>
    </w:pPr>
    <w:r>
      <w:rPr>
        <w:rFonts w:ascii="Calibri" w:cs="Calibri" w:eastAsia="Calibri" w:hAnsi="Calibri"/>
        <w:sz w:val="24"/>
        <w:szCs w:val="24"/>
        <w:rtl w:val="false"/>
        <w:lang w:val="en-GB"/>
      </w:rPr>
      <w:t xml:space="preserve">APAS ·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GB"/>
      </w:rPr>
    </w:rPrDefault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rFonts w:ascii="Calibri" w:cs="Calibri" w:eastAsia="Calibri" w:hAnsi="Calibri"/>
      <w:b/>
      <w:bCs/>
      <w:color w:val="000000"/>
      <w:sz w:val="32"/>
      <w:szCs w:val="32"/>
      <w:lang w:val="en-GB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Calibri" w:cs="Calibri" w:eastAsia="Calibri" w:hAnsi="Calibri"/>
      <w:b/>
      <w:bCs/>
      <w:color w:val="000000"/>
      <w:sz w:val="32"/>
      <w:szCs w:val="32"/>
      <w:lang w:val="en-GB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Calibri" w:cs="Calibri" w:eastAsia="Calibri" w:hAnsi="Calibri"/>
      <w:b/>
      <w:bCs/>
      <w:color w:val="000000"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Calibri" w:cs="Calibri" w:eastAsia="Calibri" w:hAnsi="Calibri"/>
      <w:b/>
      <w:bCs/>
      <w:color w:val="000000"/>
      <w:sz w:val="24"/>
      <w:szCs w:val="24"/>
      <w:lang w:val="en-GB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Calibri" w:cs="Calibri" w:eastAsia="Calibri" w:hAnsi="Calibri"/>
      <w:b/>
      <w:bCs/>
      <w:color w:val="000000"/>
      <w:sz w:val="20"/>
      <w:szCs w:val="20"/>
      <w:lang w:val="en-GB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Calibri" w:cs="Calibri" w:eastAsia="Calibri" w:hAnsi="Calibri"/>
      <w:b/>
      <w:bCs/>
      <w:color w:val="000000"/>
      <w:sz w:val="16"/>
      <w:szCs w:val="16"/>
      <w:lang w:val="en-GB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Calibri" w:cs="Calibri" w:eastAsia="Calibri" w:hAnsi="Calibri"/>
      <w:b/>
      <w:bCs/>
      <w:color w:val="000000"/>
      <w:sz w:val="12"/>
      <w:szCs w:val="12"/>
      <w:lang w:val="en-GB"/>
    </w:rPr>
  </w:style>
  <w:style w:type="paragraph" w:styleId="Strong">
    <w:name w:val="Strong"/>
    <w:basedOn w:val="Normal"/>
    <w:next w:val="Normal"/>
    <w:qFormat/>
    <w:rPr>
      <w:rFonts w:ascii="Calibri" w:cs="Calibri" w:eastAsia="Calibri" w:hAnsi="Calibri"/>
      <w:b/>
      <w:bCs/>
      <w:lang w:val="en-GB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dc="http://purl.org/dc/elements/1.1/" xmlns:dcterms="http://purl.org/dc/terms/" xmlns:xsi="http://www.w3.org/2001/XMLSchema-instance" xmlns:cp="http://schemas.openxmlformats.org/package/2006/metadata/core-properties">
  <dc:title xmlns:dc="http://purl.org/dc/elements/1.1/">Product Requirements Document — APAS</dc:title>
  <dc:subject xmlns:dc="http://purl.org/dc/elements/1.1/">PRD for APAS Clinical Overwatch</dc:subject>
  <dc:description xmlns:dc="http://purl.org/dc/elements/1.1/">Product Requirements Document v1.0, 4 August 2026</dc:description>
  <dc:creator xmlns:dc="http://purl.org/dc/elements/1.1/">APAS Product</dc:creator>
  <dc:language xmlns:dc="http://purl.org/dc/elements/1.1/"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