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RESULTS</w:t>
      </w:r>
    </w:p>
    <w:p>
      <w:pPr>
        <w:pStyle w:val="ResearchTitle"/>
      </w:pPr>
      <w:r>
        <w:t xml:space="preserve">Synthetic appendicitis reporting validation</w:t>
      </w:r>
    </w:p>
    <w:p>
      <w:pPr>
        <w:pStyle w:val="Heading1"/>
      </w:pPr>
      <w:r>
        <w:t xml:space="preserve">4.1 Objective 5</w:t>
      </w:r>
    </w:p>
    <w:p>
      <w:pPr>
        <w:pStyle w:val="ObjectiveIntro"/>
      </w:pPr>
      <w:r>
        <w:t xml:space="preserve">Research objective: test the ease of diagnosis of acute appendicitis among resident doctors and medical officers using the combined MAS and hsCRP</w:t>
      </w:r>
    </w:p>
    <w:p>
      <w:pPr>
        <w:pStyle w:val="Heading2"/>
      </w:pPr>
      <w:r>
        <w:t xml:space="preserve">4.1.1 Descriptive</w:t>
      </w:r>
    </w:p>
    <w:p>
      <w:pPr>
        <w:jc w:val="center"/>
        <w:keepNext/>
      </w:pPr>
      <w:r>
        <w:drawing>
          <wp:inline>
            <wp:extent cx="6583680" cy="3785616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</w:rPr>
        <w:t xml:space="preserve">Figure 1. Before and after diagnostic-confidence rating distributions.</w:t>
      </w:r>
      <w:r>
        <w:t xml:space="preserve"> Grouped bar graphs illustrate Rating and Number of complete pairs. Analysis included 36 eligible records; row-specific denominators take precedence. Before and after counts refer to the same complete pairs. Not confident at all: before, 8; after, 7. Descriptive paired-complete marginal distributions.</w:t>
      </w:r>
    </w:p>
    <w:p>
      <w:pPr>
        <w:pStyle w:val="Note"/>
      </w:pPr>
      <w:r>
        <w:t xml:space="preserve">Statistical analysis: Descriptive paired-complete marginal distributions. Analysis n = 36.</w:t>
      </w:r>
    </w:p>
    <w:p>
      <w:pPr>
        <w:pStyle w:val="Note"/>
      </w:pPr>
      <w:r>
        <w:t xml:space="preserve">Complete paired ordinal ratings: 36; incomplete/invalid pairs: 0.</w:t>
      </w:r>
    </w:p>
    <w:p>
      <w:pPr>
        <w:pStyle w:val="Note"/>
      </w:pPr>
      <w:r>
        <w:t xml:space="preserve">Before: independent clinical confidence without MAS/hsCRP. After: confidence after receiving both. Same clinician within each patient pair is confirmed.</w:t>
      </w:r>
    </w:p>
    <w:p>
      <w:pPr>
        <w:pStyle w:val="Note"/>
      </w:pPr>
      <w:r>
        <w:t xml:space="preserve">Clinician identity/repeated-case clustering and resident/medical-officer group are unavailable; no independence across cases or professional-group inference is assumed.</w:t>
      </w:r>
    </w:p>
    <w:p>
      <w:pPr>
        <w:pStyle w:val="Note"/>
      </w:pPr>
      <w:r>
        <w:t xml:space="preserve">Confidence is a proxy, not a direct ease-of-diagnosis item or proof of improved diagnostic accuracy.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te"/>
      </w:pPr>
      <w:r>
        <w:t xml:space="preserve">Figure sample size and axis units follow the actual plotted observations and stated source definitions.</w:t>
      </w:r>
    </w:p>
    <w:p>
      <w:pPr>
        <w:pStyle w:val="Normal"/>
      </w:pPr>
      <w:r>
        <w:t xml:space="preserve">These results address recorded confidence after MAS/hsCRP information; confidence does not establish diagnostic accuracy. Not confident at all: before 8, after 7, using the same 36 complete pairs. Slightly confident: before 7, after 8, using the same 36 complete pairs. Moderately confident: before 7, after 7, using the same 36 complete pairs. Further series are displayed in the figure; the examples above are in display order and are not a ranking. Before and after distributions use the same complete pairs.</w:t>
      </w:r>
    </w:p>
    <w:p>
      <w:pPr>
        <w:pStyle w:val="Caption"/>
      </w:pPr>
      <w:r>
        <w:t xml:space="preserve">Table 1. Diagnostic-confidence ratings before and after MAS and hsCRP information</w:t>
      </w:r>
    </w:p>
    <w:tbl>
      <w:tblPr>
        <w:tblW w:w="10368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4"/>
        <w:gridCol w:w="2341"/>
        <w:gridCol w:w="2341"/>
        <w:gridCol w:w="2342"/>
      </w:tblGrid>
      <w:tr>
        <w:trPr>
          <w:tblHeader/>
          <w:cantSplit/>
        </w:trPr>
        <w:tc>
          <w:tcPr>
            <w:tcW w:w="3344" w:type="dxa"/>
            <w:vAlign w:val="center"/>
            <w:shd w:fill="EDEDED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  <w:b/>
              </w:rPr>
              <w:t xml:space="preserve">Rating</w:t>
            </w:r>
          </w:p>
        </w:tc>
        <w:tc>
          <w:tcPr>
            <w:tcW w:w="2341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Before n (%)</w:t>
            </w:r>
          </w:p>
        </w:tc>
        <w:tc>
          <w:tcPr>
            <w:tcW w:w="2341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After n (%)</w:t>
            </w:r>
          </w:p>
        </w:tc>
        <w:tc>
          <w:tcPr>
            <w:tcW w:w="2342" w:type="dxa"/>
            <w:vAlign w:val="center"/>
            <w:shd w:fill="EDEDED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  <w:b/>
              </w:rPr>
              <w:t xml:space="preserve">Complete-pair denominator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1 · Not confident at all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8 (22.2%)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2 · Slightly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8 (22.2%)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3 · Moderately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4 · Very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w="3344" w:type="dxa"/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19"/>
              </w:rPr>
              <w:t xml:space="preserve">5 · Extremely confident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1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7 (19.4%)</w:t>
            </w:r>
          </w:p>
        </w:tc>
        <w:tc>
          <w:tcPr>
            <w:tcW w:w="2342" w:type="dxa"/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19"/>
              </w:rPr>
              <w:t xml:space="preserve">36</w:t>
            </w:r>
          </w:p>
        </w:tc>
      </w:tr>
    </w:tbl>
    <w:p>
      <w:pPr>
        <w:pStyle w:val="Note"/>
      </w:pPr>
      <w:r>
        <w:t xml:space="preserve">The table summarises Rating; Before n (%); After n (%); Complete-pair denominator. Analysis included 36 eligible records; row-specific denominators take precedence. 1 · Not confident at all — Before n (%): 8 (22.2%); After n (%): 7 (19.4%); Complete-pair denominator: 36. Ordinal frequency distribution using complete pairs; no mean-score or inferential test.</w:t>
      </w:r>
    </w:p>
    <w:p>
      <w:pPr>
        <w:pStyle w:val="Note"/>
      </w:pPr>
      <w:r>
        <w:t xml:space="preserve">Statistical analysis: Ordinal frequency distribution using complete pairs; no mean-score or inferential test. Analysis n = 36.</w:t>
      </w:r>
    </w:p>
    <w:p>
      <w:pPr>
        <w:pStyle w:val="Note"/>
      </w:pPr>
      <w:r>
        <w:t xml:space="preserve">Complete paired ordinal ratings: 36; incomplete/invalid pairs: 0.</w:t>
      </w:r>
    </w:p>
    <w:p>
      <w:pPr>
        <w:pStyle w:val="Note"/>
      </w:pPr>
      <w:r>
        <w:t xml:space="preserve">Before: independent clinical confidence without MAS/hsCRP. After: confidence after receiving both. Same clinician within each patient pair is confirmed.</w:t>
      </w:r>
    </w:p>
    <w:p>
      <w:pPr>
        <w:pStyle w:val="Note"/>
      </w:pPr>
      <w:r>
        <w:t xml:space="preserve">Clinician identity/repeated-case clustering and resident/medical-officer group are unavailable; no independence across cases or professional-group inference is assumed.</w:t>
      </w:r>
    </w:p>
    <w:p>
      <w:pPr>
        <w:pStyle w:val="Note"/>
      </w:pPr>
      <w:r>
        <w:t xml:space="preserve">Confidence is a proxy, not a direct ease-of-diagnosis item or proof of improved diagnostic accuracy.</w:t>
      </w:r>
    </w:p>
    <w:p>
      <w:pPr>
        <w:pStyle w:val="Note"/>
      </w:pPr>
      <w:r>
        <w:t xml:space="preserve">Loaded records: 36; result-level analysis n: 36. Row-specific denominators take precedence where shown.</w:t>
      </w:r>
    </w:p>
    <w:p>
      <w:pPr>
        <w:pStyle w:val="Note"/>
      </w:pPr>
      <w:r>
        <w:t xml:space="preserve">CI = confidence interval; SD = standard deviation; Q1–Q3 = first to third quartile (IQR limits); n = number of observations. Not estimable/Not estimated identifies unavailable evidence; Not applicable identifies an irrelevant field.</w:t>
      </w:r>
    </w:p>
    <w:p>
      <w:pPr>
        <w:pStyle w:val="Normal"/>
      </w:pPr>
      <w:r>
        <w:t xml:space="preserve">These results address recorded confidence after MAS/hsCRP information; confidence does not establish diagnostic accuracy. 1 · Not confident at all: Complete-pair denominator = 36; Before n (%) = 8 (22.2%); After n (%) = 7 (19.4%). 2 · Slightly confident: Complete-pair denominator = 36; Before n (%) = 7 (19.4%); After n (%) = 8 (22.2%). The distribution shows recorded confidence before and after information; it does not identify effects by clinician group.</w:t>
      </w:r>
    </w:p>
    <w:sectPr>
      <w:footerReference w:type="default" r:id="rIdFooter"/>
      <w:pgSz w:w="12240" w:h="15840"/>
      <w:pgMar w:top="936" w:right="936" w:bottom="936" w:left="936" w:header="360" w:footer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Page </w:t>
    </w:r>
    <w:fldSimple w:instr="PAGE">
      <w:r>
        <w:rPr>
          <w:sz w:val="22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color w:val="000000"/>
      </w:rPr>
    </w:rPrDefault>
  </w:docDefaults>
  <w:style w:type="paragraph" w:styleId="Normal">
    <w:name w:val="Normal"/>
    <w:pPr>
      <w:widowControl/>
      <w:spacing w:after="120" w:line="252" w:lineRule="auto"/>
    </w:pPr>
  </w:style>
  <w:style w:type="paragraph" w:styleId="ObjectiveIntro">
    <w:name w:val="Objective introduction"/>
    <w:pPr>
      <w:keepNext/>
      <w:widowControl/>
    </w:pPr>
  </w:style>
  <w:style w:type="paragraph" w:styleId="Caption">
    <w:name w:val="Caption"/>
    <w:pPr>
      <w:keepNext/>
      <w:spacing w:before="160" w:after="80"/>
    </w:pPr>
    <w:rPr>
      <w:rFonts w:ascii="Times New Roman" w:hAnsi="Times New Roman"/>
      <w:b/>
      <w:sz w:val="21"/>
    </w:rPr>
  </w:style>
  <w:style w:type="paragraph" w:styleId="FigureCaption">
    <w:name w:val="Figure Caption"/>
    <w:pPr>
      <w:jc w:val="both"/>
      <w:keepLines/>
    </w:pPr>
    <w:rPr>
      <w:rFonts w:ascii="Times New Roman" w:hAnsi="Times New Roman"/>
      <w:sz w:val="21"/>
    </w:rPr>
  </w:style>
  <w:style w:type="paragraph" w:styleId="Title">
    <w:name w:val="Title"/>
    <w:pPr>
      <w:jc w:val="center"/>
      <w:keepNext/>
    </w:pPr>
    <w:rPr>
      <w:rFonts w:ascii="Times New Roman" w:hAnsi="Times New Roman"/>
      <w:sz w:val="34"/>
      <w:color w:val="000000"/>
    </w:rPr>
  </w:style>
  <w:style w:type="paragraph" w:styleId="Heading1">
    <w:name w:val="Heading 1"/>
    <w:pPr>
      <w:keepNext/>
      <w:spacing w:before="200" w:after="120"/>
    </w:pPr>
    <w:rPr>
      <w:rFonts w:ascii="Times New Roman" w:hAnsi="Times New Roman"/>
      <w:b/>
      <w:sz w:val="26"/>
    </w:rPr>
  </w:style>
  <w:style w:type="paragraph" w:styleId="Heading2">
    <w:name w:val="Heading 2"/>
    <w:pPr>
      <w:keepNext/>
    </w:pPr>
    <w:rPr>
      <w:rFonts w:ascii="Times New Roman" w:hAnsi="Times New Roman"/>
      <w:b/>
      <w:sz w:val="24"/>
    </w:rPr>
  </w:style>
  <w:style w:type="paragraph" w:styleId="Note">
    <w:name w:val="Note"/>
    <w:pPr>
      <w:spacing w:after="60" w:line="252" w:lineRule="auto"/>
    </w:pPr>
    <w:rPr>
      <w:sz w:val="18"/>
    </w:rPr>
  </w:style>
  <w:style w:type="paragraph" w:styleId="ResearchTitle">
    <w:name w:val="Research title"/>
    <w:pPr>
      <w:jc w:val="center"/>
      <w:keepNext/>
      <w:spacing w:after="160"/>
    </w:pPr>
    <w:rPr>
      <w:sz w:val="32"/>
      <w:u w:val="single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age1" Type="http://schemas.openxmlformats.org/officeDocument/2006/relationships/image" Target="media/image1.png"/></Relationships>
</file>