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RESULTS</w:t>
      </w:r>
    </w:p>
    <w:p>
      <w:pPr>
        <w:pStyle w:val="ResearchTitle"/>
      </w:pPr>
      <w:r>
        <w:t xml:space="preserve">Synthetic appendicitis reporting validation</w:t>
      </w:r>
    </w:p>
    <w:p>
      <w:pPr>
        <w:pStyle w:val="Heading1"/>
      </w:pPr>
      <w:r>
        <w:t xml:space="preserve">4.1 Objective 2</w:t>
      </w:r>
    </w:p>
    <w:p>
      <w:pPr>
        <w:pStyle w:val="ObjectiveIntro"/>
      </w:pPr>
      <w:r>
        <w:t xml:space="preserve">Research objective: determine the diagnostic value of hsCRP in simple acute appendicitis and complicated appendicitis</w:t>
      </w:r>
    </w:p>
    <w:p>
      <w:pPr>
        <w:pStyle w:val="Heading2"/>
      </w:pPr>
      <w:r>
        <w:t xml:space="preserve">4.1.1 Comparative</w:t>
      </w:r>
    </w:p>
    <w:p>
      <w:pPr>
        <w:pStyle w:val="ObjectiveIntro"/>
      </w:pPr>
      <w:r>
        <w:t xml:space="preserve">This table presents Comparison of hsCRP between simple and complicated appendicitis. The recorded variables are CRP, histology. The analysis uses 30 eligible records; row-specific denominators apply where shown.</w:t>
      </w:r>
    </w:p>
    <w:p>
      <w:pPr>
        <w:pStyle w:val="Caption"/>
      </w:pPr>
      <w:r>
        <w:t xml:space="preserve">Table 1. Comparison of hsCRP between simple and complicated appendicitis</w:t>
      </w:r>
    </w:p>
    <w:tbl>
      <w:tblPr>
        <w:tblW w:w="10368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87"/>
        <w:gridCol w:w="1488"/>
        <w:gridCol w:w="1063"/>
        <w:gridCol w:w="1914"/>
        <w:gridCol w:w="1916"/>
      </w:tblGrid>
      <w:tr>
        <w:trPr>
          <w:tblHeader/>
          <w:cantSplit/>
        </w:trPr>
        <w:tc>
          <w:tcPr>
            <w:tcW w:w="3987" w:type="dxa"/>
            <w:vAlign w:val="center"/>
            <w:shd w:fill="EDEDED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  <w:b/>
              </w:rPr>
              <w:t xml:space="preserve">Method / effect</w:t>
            </w:r>
          </w:p>
        </w:tc>
        <w:tc>
          <w:tcPr>
            <w:tcW w:w="1488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Estimate / statistic</w:t>
            </w:r>
          </w:p>
        </w:tc>
        <w:tc>
          <w:tcPr>
            <w:tcW w:w="1063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df</w:t>
            </w:r>
          </w:p>
        </w:tc>
        <w:tc>
          <w:tcPr>
            <w:tcW w:w="1914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95% interval</w:t>
            </w:r>
          </w:p>
        </w:tc>
        <w:tc>
          <w:tcPr>
            <w:tcW w:w="1916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Two-sided p</w:t>
            </w:r>
          </w:p>
        </w:tc>
      </w:tr>
      <w:tr>
        <w:trPr>
          <w:cantSplit/>
        </w:trPr>
        <w:tc>
          <w:tcPr>
            <w:tcW w:w="3987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Mann–Whitney U, two-sided asymptotic tie correction and continuity correction · sensitivity comparison</w:t>
            </w:r>
          </w:p>
        </w:tc>
        <w:tc>
          <w:tcPr>
            <w:tcW w:w="1488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105.500</w:t>
            </w:r>
          </w:p>
        </w:tc>
        <w:tc>
          <w:tcPr>
            <w:tcW w:w="1063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Not applicable</w:t>
            </w:r>
          </w:p>
        </w:tc>
        <w:tc>
          <w:tcPr>
            <w:tcW w:w="191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Not applicable</w:t>
            </w:r>
          </w:p>
        </w:tc>
        <w:tc>
          <w:tcPr>
            <w:tcW w:w="1916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0.932</w:t>
            </w:r>
          </w:p>
        </w:tc>
      </w:tr>
      <w:tr>
        <w:trPr>
          <w:cantSplit/>
        </w:trPr>
        <w:tc>
          <w:tcPr>
            <w:tcW w:w="3987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Rank-biserial · complicated minus simple</w:t>
            </w:r>
          </w:p>
        </w:tc>
        <w:tc>
          <w:tcPr>
            <w:tcW w:w="1488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-0.023</w:t>
            </w:r>
          </w:p>
        </w:tc>
        <w:tc>
          <w:tcPr>
            <w:tcW w:w="1063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Not applicable</w:t>
            </w:r>
          </w:p>
        </w:tc>
        <w:tc>
          <w:tcPr>
            <w:tcW w:w="191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-0.454 to 0.412</w:t>
            </w:r>
          </w:p>
        </w:tc>
        <w:tc>
          <w:tcPr>
            <w:tcW w:w="1916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w="3987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Welch t · primary exploratory comparison</w:t>
            </w:r>
          </w:p>
        </w:tc>
        <w:tc>
          <w:tcPr>
            <w:tcW w:w="1488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-0.194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22.557</w:t>
            </w:r>
          </w:p>
        </w:tc>
        <w:tc>
          <w:tcPr>
            <w:tcW w:w="191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Not applicable</w:t>
            </w:r>
          </w:p>
        </w:tc>
        <w:tc>
          <w:tcPr>
            <w:tcW w:w="1916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0.848</w:t>
            </w:r>
          </w:p>
        </w:tc>
      </w:tr>
      <w:tr>
        <w:trPr>
          <w:cantSplit/>
        </w:trPr>
        <w:tc>
          <w:tcPr>
            <w:tcW w:w="3987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Mean difference</w:t>
            </w:r>
          </w:p>
        </w:tc>
        <w:tc>
          <w:tcPr>
            <w:tcW w:w="1488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-0.750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22.557</w:t>
            </w:r>
          </w:p>
        </w:tc>
        <w:tc>
          <w:tcPr>
            <w:tcW w:w="191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-8.743 to 7.243</w:t>
            </w:r>
          </w:p>
        </w:tc>
        <w:tc>
          <w:tcPr>
            <w:tcW w:w="1916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w="3987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Median difference</w:t>
            </w:r>
          </w:p>
        </w:tc>
        <w:tc>
          <w:tcPr>
            <w:tcW w:w="1488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-1.500</w:t>
            </w:r>
          </w:p>
        </w:tc>
        <w:tc>
          <w:tcPr>
            <w:tcW w:w="1063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Not applicable</w:t>
            </w:r>
          </w:p>
        </w:tc>
        <w:tc>
          <w:tcPr>
            <w:tcW w:w="191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-13.500 to 10.500</w:t>
            </w:r>
          </w:p>
        </w:tc>
        <w:tc>
          <w:tcPr>
            <w:tcW w:w="1916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Not applicable</w:t>
            </w:r>
          </w:p>
        </w:tc>
      </w:tr>
    </w:tbl>
    <w:p>
      <w:pPr>
        <w:pStyle w:val="Note"/>
      </w:pPr>
      <w:r>
        <w:t xml:space="preserve">The table summarises Method / effect; Estimate / statistic; df; 95% interval; Two-sided p. Analysis included 30 eligible records; row-specific denominators take precedence. Mann–Whitney U, two-sided asymptotic tie correction and continuity correction · sensitivity comparison — Estimate / statistic: 105.500; df: Not applicable; 95% interval: Not applicable; Two-sided p: 0.932. Rank comparison selected conservatively for either n&lt;10 or |skewness|&gt;1; otherwise Welch. Both comparisons retained with distinct estimands. Welch t · primary exploratory comparison — df: 22.557.</w:t>
      </w:r>
    </w:p>
    <w:p>
      <w:pPr>
        <w:pStyle w:val="Note"/>
      </w:pPr>
      <w:r>
        <w:t xml:space="preserve">Statistical analysis: Rank comparison selected conservatively for either n&lt;10 or |skewness|&gt;1; otherwise Welch. Both comparisons retained with distinct estimands. Analysis n = 30.</w:t>
      </w:r>
    </w:p>
    <w:p>
      <w:pPr>
        <w:pStyle w:val="Note"/>
      </w:pPr>
      <w:r>
        <w:t xml:space="preserve">Histology 1–5 reference-positive; code 6 negative under isolated reactive lymphoid hyperplasia assumption.</w:t>
      </w:r>
    </w:p>
    <w:p>
      <w:pPr>
        <w:pStyle w:val="Note"/>
      </w:pPr>
      <w:r>
        <w:t xml:space="preserve">Histological severity 1–3 simple, 4–5 complicated; code 6 not applicable. Operative rupture remains independent.</w:t>
      </w:r>
    </w:p>
    <w:p>
      <w:pPr>
        <w:pStyle w:val="Note"/>
      </w:pPr>
      <w:r>
        <w:t xml:space="preserve">All supplied records retained; full clinical eligibility remains unverified. Missing and unrecognised codes are not negative.</w:t>
      </w:r>
    </w:p>
    <w:p>
      <w:pPr>
        <w:pStyle w:val="Note"/>
      </w:pPr>
      <w:r>
        <w:t xml:space="preserve">Unit: mg/L. Included 30; excluded not applicable/missing/invalid 6.</w:t>
      </w:r>
    </w:p>
    <w:p>
      <w:pPr>
        <w:pStyle w:val="Note"/>
      </w:pPr>
      <w:r>
        <w:t xml:space="preserve">Small complicated group; asymptotic rank test includes tie and continuity correction. Independence across recruited patients assumed.</w:t>
      </w:r>
    </w:p>
    <w:p>
      <w:pPr>
        <w:pStyle w:val="Note"/>
      </w:pPr>
      <w:r>
        <w:t xml:space="preserve">Within-group percentile bootstrap intervals are exploratory; no causal claims.</w:t>
      </w:r>
    </w:p>
    <w:p>
      <w:pPr>
        <w:pStyle w:val="Note"/>
      </w:pPr>
      <w:r>
        <w:t xml:space="preserve">Loaded records: 36; result-level analysis n: 30. Row-specific denominators take precedence where shown.</w:t>
      </w:r>
    </w:p>
    <w:p>
      <w:pPr>
        <w:pStyle w:val="Note"/>
      </w:pPr>
      <w:r>
        <w:t xml:space="preserve">CI = confidence interval; SD = standard deviation; Q1–Q3 = first to third quartile (IQR limits); n = number of observations. Not estimable/Not estimated identifies unavailable evidence; Not applicable identifies an irrelevant field.</w:t>
      </w:r>
    </w:p>
    <w:p>
      <w:pPr>
        <w:pStyle w:val="Note"/>
      </w:pPr>
      <w:r>
        <w:t xml:space="preserve">Retained reporting convention α = 0.05. P-values are displayed to three decimals, or &lt;0.001 when justified by the calculated value; unrounded inferential values remain in the calculation log where available. Statistical evidence alone does not establish clinical importance. Multiplicity treatment is stated in the methods; unadjusted exploratory comparisons require cautious interpretation.</w:t>
      </w:r>
    </w:p>
    <w:p>
      <w:pPr>
        <w:pStyle w:val="Note"/>
      </w:pPr>
      <w:r>
        <w:t xml:space="preserve">Complicated: n=12; mean (SD) 15.250 (10.635); median (Q1–Q3) 14.500 (8.500–21.250); observed range 1.000–31.000. Units are those of the measured variable in the title/source notes.</w:t>
      </w:r>
    </w:p>
    <w:p>
      <w:pPr>
        <w:pStyle w:val="Note"/>
      </w:pPr>
      <w:r>
        <w:t xml:space="preserve">Simple: n=18; mean (SD) 16.000 (9.923); median (Q1–Q3) 16.000 (7.000–25.000); observed range 1.000–31.000. Units are those of the measured variable in the title/source notes.</w:t>
      </w:r>
    </w:p>
    <w:p>
      <w:pPr>
        <w:pStyle w:val="Note"/>
      </w:pPr>
      <w:r>
        <w:t xml:space="preserve">The retained primary/sensitivity label uses sample size and skewness as a heuristic; it does not establish independence, distributional assumptions or protocol approval. Test choice/prespecification remains a methodological review item. Rank-biserial intervals are percentile bootstrap; the mean-difference interval is Welch-based; the median-difference interval is percentile bootstrap.</w:t>
      </w:r>
    </w:p>
    <w:p>
      <w:pPr>
        <w:pStyle w:val="Note"/>
      </w:pPr>
      <w:r>
        <w:t xml:space="preserve">Additional recorded statistical details: Mann–Whitney comparison U statistic = 105.500. Mann–Whitney comparison p-value = 0.932. Mann–Whitney comparison effect estimate = -0.023. Welch comparison difference = -0.750. Welch comparison t = -0.194. Welch comparison degrees of freedom = 22.557. Welch comparison p-value = 0.848. Welch comparison recorded interval = -8.743 to 7.243. effect interval = -0.454 to 0.412.</w:t>
      </w:r>
    </w:p>
    <w:p>
      <w:pPr>
        <w:pStyle w:val="Normal"/>
      </w:pPr>
      <w:r>
        <w:t xml:space="preserve">Results. Mann–Whitney U, two-sided asymptotic tie correction and continuity correction · sensitivity comparison: Estimate / statistic = 105.500; Two-sided p = 0.932. Rank-biserial · complicated minus simple: Estimate / statistic = -0.023; 95% interval = -0.454 to 0.412. Welch t · primary exploratory comparison: Estimate / statistic = -0.194; df = 22.557; Two-sided p = 0.848.</w:t>
      </w:r>
    </w:p>
    <w:p>
      <w:pPr>
        <w:pStyle w:val="Normal"/>
      </w:pPr>
      <w:r>
        <w:t xml:space="preserve">Mean difference: Estimate / statistic = -0.750; df = 22.557; 95% interval = -8.743 to 7.243. Median difference: Estimate / statistic = -1.500; 95% interval = -13.500 to 10.500.</w:t>
      </w:r>
    </w:p>
    <w:p>
      <w:pPr>
        <w:pStyle w:val="Normal"/>
      </w:pPr>
      <w:r>
        <w:t xml:space="preserve">Interpretation. These results address the relationship between histological severity and hsCRP. For complicated minus simple, rank-biserial effect -0.023 (95% interval -0.454 to 0.412); Mann–Whitney (sensitivity comparison) p = 0.932. The unadjusted rank test does not provide evidence of a distributional difference at the 5% level; this does not establish equivalence. The retained primary exploratory Welch comparison estimates a mean difference of -0.750 (95% interval -8.743 to 7.243), t=-0.194, df=22.557, p = 0.848. This does not meet the retained 5% criterion and does not establish equivalence. Mann–Whitney compares distributions and is not automatically a median test. The estimated group difference is associative.</w:t>
      </w:r>
    </w:p>
    <w:p>
      <w:pPr>
        <w:pStyle w:val="Heading1"/>
      </w:pPr>
      <w:r>
        <w:t xml:space="preserve">4.2 Objective 1</w:t>
      </w:r>
    </w:p>
    <w:p>
      <w:pPr>
        <w:pStyle w:val="ObjectiveIntro"/>
      </w:pPr>
      <w:r>
        <w:t xml:space="preserve">Research objective: compare the accuracy of modified Alvarado score (MAS) alone versus MAS plus high sensitivity c-reactive protein (hsCRP) in the diagnosis of acute appendicitis</w:t>
      </w:r>
    </w:p>
    <w:p>
      <w:pPr>
        <w:pStyle w:val="Heading2"/>
      </w:pPr>
      <w:r>
        <w:t xml:space="preserve">4.2.1 Descriptive</w:t>
      </w:r>
    </w:p>
    <w:p>
      <w:pPr>
        <w:pStyle w:val="ObjectiveIntro"/>
      </w:pPr>
      <w:r>
        <w:t xml:space="preserve">This table presents Demographic and baseline characteristics of included participants. The recorded variables are age, sex. The analysis uses 36 eligible records; row-specific denominators apply where shown.</w:t>
      </w:r>
    </w:p>
    <w:p>
      <w:pPr>
        <w:pStyle w:val="Caption"/>
      </w:pPr>
      <w:r>
        <w:t xml:space="preserve">Table 2. Demographic and baseline characteristics of included participants</w:t>
      </w:r>
    </w:p>
    <w:tbl>
      <w:tblPr>
        <w:tblW w:w="10368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19"/>
        <w:gridCol w:w="2874"/>
        <w:gridCol w:w="2875"/>
      </w:tblGrid>
      <w:tr>
        <w:trPr>
          <w:tblHeader/>
          <w:cantSplit/>
        </w:trPr>
        <w:tc>
          <w:tcPr>
            <w:tcW w:w="4619" w:type="dxa"/>
            <w:vAlign w:val="center"/>
            <w:shd w:fill="EDEDED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  <w:b/>
              </w:rPr>
              <w:t xml:space="preserve">Characteristic</w:t>
            </w:r>
          </w:p>
        </w:tc>
        <w:tc>
          <w:tcPr>
            <w:tcW w:w="2874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Value</w:t>
            </w:r>
          </w:p>
        </w:tc>
        <w:tc>
          <w:tcPr>
            <w:tcW w:w="2875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Denominator</w:t>
            </w:r>
          </w:p>
        </w:tc>
      </w:tr>
      <w:tr>
        <w:trPr>
          <w:cantSplit/>
        </w:trPr>
        <w:tc>
          <w:tcPr>
            <w:tcW w:w="4619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Age, years · median (Q1–Q3)</w:t>
            </w:r>
          </w:p>
        </w:tc>
        <w:tc>
          <w:tcPr>
            <w:tcW w:w="2874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27.500 (18.750–36.250)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4619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Age range, years</w:t>
            </w:r>
          </w:p>
        </w:tc>
        <w:tc>
          <w:tcPr>
            <w:tcW w:w="2874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10–45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4619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Children &lt;16 years</w:t>
            </w:r>
          </w:p>
        </w:tc>
        <w:tc>
          <w:tcPr>
            <w:tcW w:w="2874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6 (16.7%)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4619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Adults ≥16 years</w:t>
            </w:r>
          </w:p>
        </w:tc>
        <w:tc>
          <w:tcPr>
            <w:tcW w:w="2874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30 (83.3%)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4619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Male</w:t>
            </w:r>
          </w:p>
        </w:tc>
        <w:tc>
          <w:tcPr>
            <w:tcW w:w="2874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18 (50.0%)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4619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Female</w:t>
            </w:r>
          </w:p>
        </w:tc>
        <w:tc>
          <w:tcPr>
            <w:tcW w:w="2874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18 (50.0%)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</w:tbl>
    <w:p>
      <w:pPr>
        <w:pStyle w:val="Note"/>
      </w:pPr>
      <w:r>
        <w:t xml:space="preserve">The table summarises Characteristic; Value; Denominator. Analysis included 36 eligible records; row-specific denominators take precedence. Age, years · median (Q1–Q3) — Value: 27.500 (18.750–36.250); Denominator: 36. Descriptive frequencies and median/quartiles; no demographic hypothesis tests.</w:t>
      </w:r>
    </w:p>
    <w:p>
      <w:pPr>
        <w:pStyle w:val="Note"/>
      </w:pPr>
      <w:r>
        <w:t xml:space="preserve">Statistical analysis: Descriptive frequencies and median/quartiles; no demographic hypothesis tests. Analysis n = 36.</w:t>
      </w:r>
    </w:p>
    <w:p>
      <w:pPr>
        <w:pStyle w:val="Note"/>
      </w:pPr>
      <w:r>
        <w:t xml:space="preserve">Age missing/invalid: 0; sex missing/invalid: 0.</w:t>
      </w:r>
    </w:p>
    <w:p>
      <w:pPr>
        <w:pStyle w:val="Note"/>
      </w:pPr>
      <w:r>
        <w:t xml:space="preserve">Loaded records: 36; result-level analysis n: 36. Row-specific denominators take precedence where shown.</w:t>
      </w:r>
    </w:p>
    <w:p>
      <w:pPr>
        <w:pStyle w:val="Note"/>
      </w:pPr>
      <w:r>
        <w:t xml:space="preserve">CI = confidence interval; SD = standard deviation; Q1–Q3 = first to third quartile (IQR limits); n = number of observations. Not estimable/Not estimated identifies unavailable evidence; Not applicable identifies an irrelevant field.</w:t>
      </w:r>
    </w:p>
    <w:p>
      <w:pPr>
        <w:pStyle w:val="Normal"/>
      </w:pPr>
      <w:r>
        <w:t xml:space="preserve">Results. Age, years · median (Q1–Q3): Value = 27.500 (18.750–36.250); Denominator = 36. Age range, years: Value = 10–45; Denominator = 36. Children &lt;16 years: Value = 6 (16.7%); Denominator = 36.</w:t>
      </w:r>
    </w:p>
    <w:p>
      <w:pPr>
        <w:pStyle w:val="Normal"/>
      </w:pPr>
      <w:r>
        <w:t xml:space="preserve">Adults ≥16 years: Value = 30 (83.3%); Denominator = 36. Male: Value = 18 (50.0%); Denominator = 36. Female: Value = 18 (50.0%); Denominator = 36.</w:t>
      </w:r>
    </w:p>
    <w:p>
      <w:pPr>
        <w:pStyle w:val="Normal"/>
      </w:pPr>
      <w:r>
        <w:t xml:space="preserve">Synthetic validation data are used for this example.</w:t>
      </w:r>
    </w:p>
    <w:p>
      <w:pPr>
        <w:pStyle w:val="Normal"/>
      </w:pPr>
      <w:r>
        <w:t xml:space="preserve">Interpretation. These characteristics describe the cohort in which the research objectives are evaluated. Age, years · median (Q1–Q3): Value = 27.500 (18.750–36.250); Denominator = 36. Age range, years: Value = 10–45; Denominator = 36. Age and sex describe the included cohort; age grouping follows the approved 16-year boundary.</w:t>
      </w:r>
    </w:p>
    <w:p>
      <w:pPr>
        <w:pStyle w:val="Heading1"/>
      </w:pPr>
      <w:r>
        <w:t xml:space="preserve">4.3 Objective 5</w:t>
      </w:r>
    </w:p>
    <w:p>
      <w:pPr>
        <w:pStyle w:val="ObjectiveIntro"/>
      </w:pPr>
      <w:r>
        <w:t xml:space="preserve">Research objective: test the ease of diagnosis of acute appendicitis among resident doctors and medical officers using the combined MAS and hsCRP</w:t>
      </w:r>
    </w:p>
    <w:p>
      <w:pPr>
        <w:pStyle w:val="Heading2"/>
      </w:pPr>
      <w:r>
        <w:t xml:space="preserve">4.3.1 Descriptive</w:t>
      </w:r>
    </w:p>
    <w:p>
      <w:pPr>
        <w:pStyle w:val="ObjectiveIntro"/>
      </w:pPr>
      <w:r>
        <w:t xml:space="preserve">This table presents Diagnostic-confidence ratings before and after MAS and hsCRP information. The recorded variables are diagnostic_confi1, diagnostic_confi2. The analysis uses 36 eligible records; row-specific denominators apply where shown.</w:t>
      </w:r>
    </w:p>
    <w:p>
      <w:pPr>
        <w:pStyle w:val="Caption"/>
      </w:pPr>
      <w:r>
        <w:t xml:space="preserve">Table 3. Diagnostic-confidence ratings before and after MAS and hsCRP information</w:t>
      </w:r>
    </w:p>
    <w:tbl>
      <w:tblPr>
        <w:tblW w:w="10368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44"/>
        <w:gridCol w:w="2341"/>
        <w:gridCol w:w="2341"/>
        <w:gridCol w:w="2342"/>
      </w:tblGrid>
      <w:tr>
        <w:trPr>
          <w:tblHeader/>
          <w:cantSplit/>
        </w:trPr>
        <w:tc>
          <w:tcPr>
            <w:tcW w:w="3344" w:type="dxa"/>
            <w:vAlign w:val="center"/>
            <w:shd w:fill="EDEDED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  <w:b/>
              </w:rPr>
              <w:t xml:space="preserve">Rating</w:t>
            </w:r>
          </w:p>
        </w:tc>
        <w:tc>
          <w:tcPr>
            <w:tcW w:w="2341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Before n (%)</w:t>
            </w:r>
          </w:p>
        </w:tc>
        <w:tc>
          <w:tcPr>
            <w:tcW w:w="2341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After n (%)</w:t>
            </w:r>
          </w:p>
        </w:tc>
        <w:tc>
          <w:tcPr>
            <w:tcW w:w="2342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Complete-pair denominator</w:t>
            </w:r>
          </w:p>
        </w:tc>
      </w:tr>
      <w:tr>
        <w:trPr>
          <w:cantSplit/>
        </w:trPr>
        <w:tc>
          <w:tcPr>
            <w:tcW w:w="334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1 · Not confident at all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8 (22.2%)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2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334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2 · Slightly confident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8 (22.2%)</w:t>
            </w:r>
          </w:p>
        </w:tc>
        <w:tc>
          <w:tcPr>
            <w:tcW w:w="2342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334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3 · Moderately confident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2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334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4 · Very confident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2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334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5 · Extremely confident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2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</w:tbl>
    <w:p>
      <w:pPr>
        <w:pStyle w:val="Note"/>
      </w:pPr>
      <w:r>
        <w:t xml:space="preserve">The table summarises Rating; Before n (%); After n (%); Complete-pair denominator. Analysis included 36 eligible records; row-specific denominators take precedence. 1 · Not confident at all — Before n (%): 8 (22.2%); After n (%): 7 (19.4%); Complete-pair denominator: 36. Ordinal frequency distribution using complete pairs; no mean-score or inferential test.</w:t>
      </w:r>
    </w:p>
    <w:p>
      <w:pPr>
        <w:pStyle w:val="Note"/>
      </w:pPr>
      <w:r>
        <w:t xml:space="preserve">Statistical analysis: Ordinal frequency distribution using complete pairs; no mean-score or inferential test. Analysis n = 36.</w:t>
      </w:r>
    </w:p>
    <w:p>
      <w:pPr>
        <w:pStyle w:val="Note"/>
      </w:pPr>
      <w:r>
        <w:t xml:space="preserve">Complete paired ordinal ratings: 36; incomplete/invalid pairs: 0.</w:t>
      </w:r>
    </w:p>
    <w:p>
      <w:pPr>
        <w:pStyle w:val="Note"/>
      </w:pPr>
      <w:r>
        <w:t xml:space="preserve">Before: independent clinical confidence without MAS/hsCRP. After: confidence after receiving both. Same clinician within each patient pair is confirmed.</w:t>
      </w:r>
    </w:p>
    <w:p>
      <w:pPr>
        <w:pStyle w:val="Note"/>
      </w:pPr>
      <w:r>
        <w:t xml:space="preserve">Clinician identity/repeated-case clustering and resident/medical-officer group are unavailable; no independence across cases or professional-group inference is assumed.</w:t>
      </w:r>
    </w:p>
    <w:p>
      <w:pPr>
        <w:pStyle w:val="Note"/>
      </w:pPr>
      <w:r>
        <w:t xml:space="preserve">Confidence is a proxy, not a direct ease-of-diagnosis item or proof of improved diagnostic accuracy.</w:t>
      </w:r>
    </w:p>
    <w:p>
      <w:pPr>
        <w:pStyle w:val="Note"/>
      </w:pPr>
      <w:r>
        <w:t xml:space="preserve">Loaded records: 36; result-level analysis n: 36. Row-specific denominators take precedence where shown.</w:t>
      </w:r>
    </w:p>
    <w:p>
      <w:pPr>
        <w:pStyle w:val="Note"/>
      </w:pPr>
      <w:r>
        <w:t xml:space="preserve">CI = confidence interval; SD = standard deviation; Q1–Q3 = first to third quartile (IQR limits); n = number of observations. Not estimable/Not estimated identifies unavailable evidence; Not applicable identifies an irrelevant field.</w:t>
      </w:r>
    </w:p>
    <w:p>
      <w:pPr>
        <w:pStyle w:val="Normal"/>
      </w:pPr>
      <w:r>
        <w:t xml:space="preserve">Results. 1 · Not confident at all: Before n (%) = 8 (22.2%); After n (%) = 7 (19.4%). 2 · Slightly confident: Before n (%) = 7 (19.4%); After n (%) = 8 (22.2%). 3 · Moderately confident: Before n (%) = 7 (19.4%); After n (%) = 7 (19.4%).</w:t>
      </w:r>
    </w:p>
    <w:p>
      <w:pPr>
        <w:pStyle w:val="Normal"/>
      </w:pPr>
      <w:r>
        <w:t xml:space="preserve">4 · Very confident: Before n (%) = 7 (19.4%); After n (%) = 7 (19.4%). 5 · Extremely confident: Before n (%) = 7 (19.4%); After n (%) = 7 (19.4%).</w:t>
      </w:r>
    </w:p>
    <w:p>
      <w:pPr>
        <w:pStyle w:val="Normal"/>
      </w:pPr>
      <w:r>
        <w:t xml:space="preserve">Interpretation. These results address recorded confidence after MAS/hsCRP information; confidence does not establish diagnostic accuracy. 1 · Not confident at all: Complete-pair denominator = 36; Before n (%) = 8 (22.2%); After n (%) = 7 (19.4%). 2 · Slightly confident: Complete-pair denominator = 36; Before n (%) = 7 (19.4%); After n (%) = 8 (22.2%). The distribution shows recorded confidence before and after information; it does not identify effects by clinician group.</w:t>
      </w:r>
    </w:p>
    <w:p>
      <w:pPr>
        <w:pStyle w:val="ObjectiveIntro"/>
      </w:pPr>
      <w:r>
        <w:t xml:space="preserve">This figure presents Before and after diagnostic-confidence rating distributions. The recorded variables are diagnostic_confi1, diagnostic_confi2. The analysis uses 36 eligible records; row-specific denominators apply where shown.</w:t>
      </w:r>
    </w:p>
    <w:p>
      <w:pPr>
        <w:jc w:val="center"/>
        <w:keepNext/>
      </w:pPr>
      <w:r>
        <w:drawing>
          <wp:inline>
            <wp:extent cx="6583680" cy="3785616"/>
            <wp:docPr id="1" name="image1.png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</w:rPr>
        <w:t xml:space="preserve">Figure 1. Before and after diagnostic-confidence rating distributions.</w:t>
      </w:r>
      <w:r>
        <w:t xml:space="preserve"> Grouped bar graphs illustrate Rating and Number of complete pairs. Analysis included 36 eligible records; row-specific denominators take precedence. Before and after counts refer to the same complete pairs. Not confident at all: before, 8; after, 7. Descriptive paired-complete marginal distributions.</w:t>
      </w:r>
    </w:p>
    <w:p>
      <w:pPr>
        <w:pStyle w:val="Note"/>
      </w:pPr>
      <w:r>
        <w:t xml:space="preserve">Statistical analysis: Descriptive paired-complete marginal distributions. Analysis n = 36.</w:t>
      </w:r>
    </w:p>
    <w:p>
      <w:pPr>
        <w:pStyle w:val="Note"/>
      </w:pPr>
      <w:r>
        <w:t xml:space="preserve">Complete paired ordinal ratings: 36; incomplete/invalid pairs: 0.</w:t>
      </w:r>
    </w:p>
    <w:p>
      <w:pPr>
        <w:pStyle w:val="Note"/>
      </w:pPr>
      <w:r>
        <w:t xml:space="preserve">Before: independent clinical confidence without MAS/hsCRP. After: confidence after receiving both. Same clinician within each patient pair is confirmed.</w:t>
      </w:r>
    </w:p>
    <w:p>
      <w:pPr>
        <w:pStyle w:val="Note"/>
      </w:pPr>
      <w:r>
        <w:t xml:space="preserve">Clinician identity/repeated-case clustering and resident/medical-officer group are unavailable; no independence across cases or professional-group inference is assumed.</w:t>
      </w:r>
    </w:p>
    <w:p>
      <w:pPr>
        <w:pStyle w:val="Note"/>
      </w:pPr>
      <w:r>
        <w:t xml:space="preserve">Confidence is a proxy, not a direct ease-of-diagnosis item or proof of improved diagnostic accuracy.</w:t>
      </w:r>
    </w:p>
    <w:p>
      <w:pPr>
        <w:pStyle w:val="Note"/>
      </w:pPr>
      <w:r>
        <w:t xml:space="preserve">Loaded records: 36; result-level analysis n: 36. Row-specific denominators take precedence where shown.</w:t>
      </w:r>
    </w:p>
    <w:p>
      <w:pPr>
        <w:pStyle w:val="Note"/>
      </w:pPr>
      <w:r>
        <w:t xml:space="preserve">CI = confidence interval; SD = standard deviation; Q1–Q3 = first to third quartile (IQR limits); n = number of observations. Not estimable/Not estimated identifies unavailable evidence; Not applicable identifies an irrelevant field.</w:t>
      </w:r>
    </w:p>
    <w:p>
      <w:pPr>
        <w:pStyle w:val="Note"/>
      </w:pPr>
      <w:r>
        <w:t xml:space="preserve">Figure sample size and axis units follow the actual plotted observations and stated source definitions.</w:t>
      </w:r>
    </w:p>
    <w:p>
      <w:pPr>
        <w:pStyle w:val="Normal"/>
      </w:pPr>
      <w:r>
        <w:t xml:space="preserve">Results. Not confident at all: before = 8; after = 7. Slightly confident: before = 7; after = 8. Moderately confident: before = 7; after = 7.</w:t>
      </w:r>
    </w:p>
    <w:p>
      <w:pPr>
        <w:pStyle w:val="Normal"/>
      </w:pPr>
      <w:r>
        <w:t xml:space="preserve">Very confident: before = 7; after = 7. Extremely confident: before = 7; after = 7.</w:t>
      </w:r>
    </w:p>
    <w:p>
      <w:pPr>
        <w:pStyle w:val="Normal"/>
      </w:pPr>
      <w:r>
        <w:t xml:space="preserve">Interpretation. These results address recorded confidence after MAS/hsCRP information; confidence does not establish diagnostic accuracy. Not confident at all: before 8, after 7, using the same 36 complete pairs. Slightly confident: before 7, after 8, using the same 36 complete pairs. Moderately confident: before 7, after 7, using the same 36 complete pairs. Further series are displayed in the figure; the examples above are in display order and are not a ranking. Before and after distributions use the same complete pairs.</w:t>
      </w:r>
    </w:p>
    <w:sectPr>
      <w:footerReference w:type="default" r:id="rIdFooter"/>
      <w:pgSz w:w="12240" w:h="15840"/>
      <w:pgMar w:top="936" w:right="936" w:bottom="936" w:left="936" w:header="360" w:footer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Page </w:t>
    </w:r>
    <w:fldSimple w:instr="PAGE">
      <w:r>
        <w:rPr>
          <w:sz w:val="22"/>
        </w:rP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  <w:color w:val="000000"/>
      </w:rPr>
    </w:rPrDefault>
  </w:docDefaults>
  <w:style w:type="paragraph" w:styleId="Normal">
    <w:name w:val="Normal"/>
    <w:pPr>
      <w:widowControl/>
      <w:spacing w:after="120" w:line="252" w:lineRule="auto"/>
    </w:pPr>
  </w:style>
  <w:style w:type="paragraph" w:styleId="ObjectiveIntro">
    <w:name w:val="Objective introduction"/>
    <w:pPr>
      <w:keepNext/>
      <w:widowControl/>
    </w:pPr>
  </w:style>
  <w:style w:type="paragraph" w:styleId="Caption">
    <w:name w:val="Caption"/>
    <w:pPr>
      <w:keepNext/>
      <w:spacing w:before="160" w:after="80"/>
    </w:pPr>
    <w:rPr>
      <w:rFonts w:ascii="Times New Roman" w:hAnsi="Times New Roman"/>
      <w:b/>
      <w:sz w:val="21"/>
    </w:rPr>
  </w:style>
  <w:style w:type="paragraph" w:styleId="FigureCaption">
    <w:name w:val="Figure Caption"/>
    <w:pPr>
      <w:jc w:val="both"/>
      <w:keepLines/>
    </w:pPr>
    <w:rPr>
      <w:rFonts w:ascii="Times New Roman" w:hAnsi="Times New Roman"/>
      <w:sz w:val="21"/>
    </w:rPr>
  </w:style>
  <w:style w:type="paragraph" w:styleId="Title">
    <w:name w:val="Title"/>
    <w:pPr>
      <w:jc w:val="center"/>
      <w:keepNext/>
    </w:pPr>
    <w:rPr>
      <w:rFonts w:ascii="Times New Roman" w:hAnsi="Times New Roman"/>
      <w:sz w:val="34"/>
      <w:color w:val="000000"/>
    </w:rPr>
  </w:style>
  <w:style w:type="paragraph" w:styleId="Heading1">
    <w:name w:val="Heading 1"/>
    <w:pPr>
      <w:keepNext/>
      <w:spacing w:before="200" w:after="120"/>
    </w:pPr>
    <w:rPr>
      <w:rFonts w:ascii="Times New Roman" w:hAnsi="Times New Roman"/>
      <w:b/>
      <w:sz w:val="26"/>
    </w:rPr>
  </w:style>
  <w:style w:type="paragraph" w:styleId="Heading2">
    <w:name w:val="Heading 2"/>
    <w:pPr>
      <w:keepNext/>
    </w:pPr>
    <w:rPr>
      <w:rFonts w:ascii="Times New Roman" w:hAnsi="Times New Roman"/>
      <w:b/>
      <w:sz w:val="24"/>
    </w:rPr>
  </w:style>
  <w:style w:type="paragraph" w:styleId="Note">
    <w:name w:val="Note"/>
    <w:pPr>
      <w:spacing w:after="60" w:line="252" w:lineRule="auto"/>
    </w:pPr>
    <w:rPr>
      <w:sz w:val="18"/>
    </w:rPr>
  </w:style>
  <w:style w:type="paragraph" w:styleId="ResearchTitle">
    <w:name w:val="Research title"/>
    <w:pPr>
      <w:jc w:val="center"/>
      <w:keepNext/>
      <w:spacing w:after="160"/>
    </w:pPr>
    <w:rPr>
      <w:sz w:val="32"/>
      <w:u w:val="single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Image1" Type="http://schemas.openxmlformats.org/officeDocument/2006/relationships/image" Target="media/image1.png"/></Relationships>
</file>