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Calibri" w:cs="Calibri" w:eastAsia="Calibri" w:hAnsi="Calibri"/>
          <w:b/>
          <w:bCs/>
          <w:color w:val="000000"/>
          <w:sz w:val="28"/>
          <w:szCs w:val="28"/>
        </w:rPr>
        <w:t xml:space="preserve">EQUITY RESEARCH REPORT</w:t>
      </w:r>
    </w:p>
    <w:p>
      <w:pPr>
        <w:pBdr>
          <w:bottom w:val="single" w:color="000000" w:sz="18" w:space="8"/>
        </w:pBdr>
        <w:spacing w:after="240" w:before="0"/>
        <w:jc w:val="center"/>
      </w:pPr>
      <w:r>
        <w:rPr>
          <w:rFonts w:ascii="Calibri" w:cs="Calibri" w:eastAsia="Calibri" w:hAnsi="Calibri"/>
          <w:b/>
          <w:bCs/>
          <w:color w:val="000000"/>
          <w:sz w:val="48"/>
          <w:szCs w:val="48"/>
        </w:rPr>
        <w:t xml:space="preserve">Sterling Infrastructure, Inc.</w:t>
      </w:r>
    </w:p>
    <w:p>
      <w:pPr>
        <w:spacing w:after="240" w:before="120"/>
        <w:jc w:val="center"/>
      </w:pPr>
      <w:r>
        <w:rPr>
          <w:rFonts w:ascii="Calibri" w:cs="Calibri" w:eastAsia="Calibri" w:hAnsi="Calibri"/>
          <w:i/>
          <w:iCs/>
          <w:color w:val="404040"/>
          <w:sz w:val="26"/>
          <w:szCs w:val="26"/>
        </w:rPr>
        <w:t xml:space="preserve">NASDAQ: STRL  |  Infrastructure Sector</w:t>
      </w:r>
    </w:p>
    <w:p>
      <w:pPr>
        <w:spacing w:after="0" w:before="4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18"/>
              <w:left w:val="single" w:color="000000" w:sz="18"/>
              <w:bottom w:val="single" w:color="000000" w:sz="18"/>
              <w:right w:val="single" w:color="000000" w:sz="18"/>
            </w:tcBorders>
            <w:shd w:fill="D9D9D9" w:color="auto" w:val="clear"/>
            <w:tcMar>
              <w:top w:type="dxa" w:w="240"/>
              <w:left w:type="dxa" w:w="240"/>
              <w:bottom w:type="dxa" w:w="240"/>
              <w:right w:type="dxa" w:w="240"/>
            </w:tcMar>
          </w:tcPr>
          <w:p>
            <w:pPr>
              <w:spacing w:after="80"/>
              <w:jc w:val="center"/>
            </w:pPr>
            <w:r>
              <w:rPr>
                <w:rFonts w:ascii="Calibri" w:cs="Calibri" w:eastAsia="Calibri" w:hAnsi="Calibri"/>
                <w:b/>
                <w:bCs/>
                <w:color w:val="404040"/>
                <w:sz w:val="20"/>
                <w:szCs w:val="20"/>
              </w:rPr>
              <w:t xml:space="preserve">RECOMMENDATION</w:t>
            </w:r>
          </w:p>
          <w:p>
            <w:pPr>
              <w:spacing w:after="120"/>
              <w:jc w:val="center"/>
            </w:pPr>
            <w:r>
              <w:rPr>
                <w:rFonts w:ascii="Calibri" w:cs="Calibri" w:eastAsia="Calibri" w:hAnsi="Calibri"/>
                <w:b/>
                <w:bCs/>
                <w:color w:val="000000"/>
                <w:sz w:val="44"/>
                <w:szCs w:val="44"/>
              </w:rPr>
              <w:t xml:space="preserve">NOT BUY</w:t>
            </w:r>
          </w:p>
          <w:p>
            <w:pPr>
              <w:spacing w:after="60"/>
              <w:jc w:val="center"/>
            </w:pPr>
            <w:r>
              <w:rPr>
                <w:rFonts w:ascii="Calibri" w:cs="Calibri" w:eastAsia="Calibri" w:hAnsi="Calibri"/>
                <w:color w:val="000000"/>
                <w:sz w:val="22"/>
                <w:szCs w:val="22"/>
              </w:rPr>
              <w:t xml:space="preserve">Implied Downside: </w:t>
            </w:r>
            <w:r>
              <w:rPr>
                <w:rFonts w:ascii="Calibri" w:cs="Calibri" w:eastAsia="Calibri" w:hAnsi="Calibri"/>
                <w:b/>
                <w:bCs/>
                <w:color w:val="000000"/>
                <w:sz w:val="24"/>
                <w:szCs w:val="24"/>
              </w:rPr>
              <w:t xml:space="preserve">−10%</w:t>
            </w:r>
          </w:p>
          <w:p>
            <w:pPr>
              <w:jc w:val="center"/>
            </w:pPr>
            <w:r>
              <w:rPr>
                <w:rFonts w:ascii="Calibri" w:cs="Calibri" w:eastAsia="Calibri" w:hAnsi="Calibri"/>
                <w:color w:val="000000"/>
                <w:sz w:val="22"/>
                <w:szCs w:val="22"/>
              </w:rPr>
              <w:t xml:space="preserve">Current Price: $377.84</w:t>
            </w:r>
            <w:r>
              <w:rPr>
                <w:rFonts w:ascii="Calibri" w:cs="Calibri" w:eastAsia="Calibri" w:hAnsi="Calibri"/>
                <w:color w:val="404040"/>
                <w:sz w:val="22"/>
                <w:szCs w:val="22"/>
              </w:rPr>
              <w:t xml:space="preserve">  |  </w:t>
            </w:r>
            <w:r>
              <w:rPr>
                <w:rFonts w:ascii="Calibri" w:cs="Calibri" w:eastAsia="Calibri" w:hAnsi="Calibri"/>
                <w:b/>
                <w:bCs/>
                <w:color w:val="000000"/>
                <w:sz w:val="22"/>
                <w:szCs w:val="22"/>
              </w:rPr>
              <w:t xml:space="preserve">Fair Value: $340.00</w:t>
            </w:r>
          </w:p>
          <w:p>
            <w:pPr>
              <w:spacing w:before="120"/>
              <w:jc w:val="center"/>
            </w:pPr>
            <w:r>
              <w:rPr>
                <w:rFonts w:ascii="Calibri" w:cs="Calibri" w:eastAsia="Calibri" w:hAnsi="Calibri"/>
                <w:i/>
                <w:iCs/>
                <w:color w:val="404040"/>
                <w:sz w:val="20"/>
                <w:szCs w:val="20"/>
              </w:rPr>
              <w:t xml:space="preserve">Thesis: Strong company, stretched valuation</w:t>
            </w:r>
          </w:p>
        </w:tc>
      </w:tr>
    </w:tbl>
    <w:p>
      <w:pPr>
        <w:spacing w:after="0" w:before="600"/>
      </w:pPr>
      <w:r>
        <w:t xml:space="preserve"/>
      </w:r>
    </w:p>
    <w:p>
      <w:pPr>
        <w:spacing w:after="80"/>
        <w:jc w:val="center"/>
      </w:pPr>
      <w:r>
        <w:rPr>
          <w:rFonts w:ascii="Calibri" w:cs="Calibri" w:eastAsia="Calibri" w:hAnsi="Calibri"/>
          <w:b/>
          <w:bCs/>
          <w:color w:val="000000"/>
          <w:sz w:val="22"/>
          <w:szCs w:val="22"/>
        </w:rPr>
        <w:t xml:space="preserve">Prepared by: Ajay Kaarthik Krishnamoorthy</w:t>
      </w:r>
    </w:p>
    <w:p>
      <w:pPr>
        <w:spacing w:after="80"/>
        <w:jc w:val="center"/>
      </w:pPr>
      <w:r>
        <w:rPr>
          <w:rFonts w:ascii="Calibri" w:cs="Calibri" w:eastAsia="Calibri" w:hAnsi="Calibri"/>
          <w:i/>
          <w:iCs/>
          <w:color w:val="404040"/>
          <w:sz w:val="22"/>
          <w:szCs w:val="22"/>
        </w:rPr>
        <w:t xml:space="preserve">Stuart Investment Club</w:t>
      </w:r>
    </w:p>
    <w:p>
      <w:pPr>
        <w:spacing w:after="80"/>
        <w:jc w:val="center"/>
      </w:pPr>
      <w:r>
        <w:rPr>
          <w:rFonts w:ascii="Calibri" w:cs="Calibri" w:eastAsia="Calibri" w:hAnsi="Calibri"/>
          <w:i/>
          <w:iCs/>
          <w:color w:val="404040"/>
          <w:sz w:val="20"/>
          <w:szCs w:val="20"/>
        </w:rPr>
        <w:t xml:space="preserve">Illinois Institute of Technology — Stuart School of Business</w:t>
      </w:r>
    </w:p>
    <w:p>
      <w:pPr>
        <w:spacing w:after="0"/>
        <w:jc w:val="center"/>
      </w:pPr>
      <w:r>
        <w:rPr>
          <w:rFonts w:ascii="Calibri" w:cs="Calibri" w:eastAsia="Calibri" w:hAnsi="Calibri"/>
          <w:color w:val="404040"/>
          <w:sz w:val="20"/>
          <w:szCs w:val="20"/>
        </w:rPr>
        <w:t xml:space="preserve">Analysis Date: November 8, 2025</w:t>
      </w:r>
    </w:p>
    <w:p>
      <w:r>
        <w:br w:type="page"/>
      </w:r>
    </w:p>
    <w:p>
      <w:pPr>
        <w:pStyle w:val="Heading1"/>
        <w:pBdr>
          <w:bottom w:val="single" w:color="000000" w:sz="12" w:space="4"/>
        </w:pBdr>
        <w:spacing w:after="180" w:before="360"/>
      </w:pPr>
      <w:r>
        <w:rPr>
          <w:rFonts w:ascii="Calibri" w:cs="Calibri" w:eastAsia="Calibri" w:hAnsi="Calibri"/>
          <w:b/>
          <w:bCs/>
          <w:color w:val="000000"/>
          <w:sz w:val="32"/>
          <w:szCs w:val="32"/>
        </w:rPr>
        <w:t xml:space="preserve">1. Executive Summary</w:t>
      </w:r>
    </w:p>
    <w:p>
      <w:pPr>
        <w:spacing w:after="80" w:before="0" w:line="300"/>
        <w:jc w:val="left"/>
      </w:pPr>
      <w:r>
        <w:rPr>
          <w:rFonts w:ascii="Calibri" w:cs="Calibri" w:eastAsia="Calibri" w:hAnsi="Calibri"/>
          <w:b w:val="false"/>
          <w:bCs w:val="false"/>
          <w:i w:val="false"/>
          <w:iCs w:val="false"/>
          <w:color w:val="000000"/>
          <w:sz w:val="22"/>
          <w:szCs w:val="22"/>
        </w:rPr>
        <w:t xml:space="preserve">Sterling Infrastructure, Inc. (NASDAQ: STRL) is a leading U.S. provider of E-Infrastructure, Transportation, and Building Solutions, operating at the intersection of two powerful secular tailwinds: the $1.2T Infrastructure Investment and Jobs Act (IIJA) and the data center buildout driven by AI-led compute demand. The underlying business is unquestionably strong — margins, returns, and liquidity have all improved materially over the past five years.</w:t>
      </w:r>
    </w:p>
    <w:p>
      <w:pPr>
        <w:spacing w:after="120" w:before="120" w:line="300"/>
      </w:pPr>
      <w:r>
        <w:rPr>
          <w:rFonts w:ascii="Calibri" w:cs="Calibri" w:eastAsia="Calibri" w:hAnsi="Calibri"/>
          <w:sz w:val="22"/>
          <w:szCs w:val="22"/>
        </w:rPr>
        <w:t xml:space="preserve">However, this report issues a </w:t>
      </w:r>
      <w:r>
        <w:rPr>
          <w:rFonts w:ascii="Calibri" w:cs="Calibri" w:eastAsia="Calibri" w:hAnsi="Calibri"/>
          <w:b/>
          <w:bCs/>
          <w:color w:val="000000"/>
          <w:sz w:val="22"/>
          <w:szCs w:val="22"/>
        </w:rPr>
        <w:t xml:space="preserve">NOT BUY recommendation</w:t>
      </w:r>
      <w:r>
        <w:rPr>
          <w:rFonts w:ascii="Calibri" w:cs="Calibri" w:eastAsia="Calibri" w:hAnsi="Calibri"/>
          <w:sz w:val="22"/>
          <w:szCs w:val="22"/>
        </w:rPr>
        <w:t xml:space="preserve"> with a fair value estimate of </w:t>
      </w:r>
      <w:r>
        <w:rPr>
          <w:rFonts w:ascii="Calibri" w:cs="Calibri" w:eastAsia="Calibri" w:hAnsi="Calibri"/>
          <w:b/>
          <w:bCs/>
          <w:color w:val="000000"/>
          <w:sz w:val="22"/>
          <w:szCs w:val="22"/>
        </w:rPr>
        <w:t xml:space="preserve">$340.00</w:t>
      </w:r>
      <w:r>
        <w:rPr>
          <w:rFonts w:ascii="Calibri" w:cs="Calibri" w:eastAsia="Calibri" w:hAnsi="Calibri"/>
          <w:sz w:val="22"/>
          <w:szCs w:val="22"/>
        </w:rPr>
        <w:t xml:space="preserve">, implying roughly </w:t>
      </w:r>
      <w:r>
        <w:rPr>
          <w:rFonts w:ascii="Calibri" w:cs="Calibri" w:eastAsia="Calibri" w:hAnsi="Calibri"/>
          <w:b/>
          <w:bCs/>
          <w:color w:val="000000"/>
          <w:sz w:val="22"/>
          <w:szCs w:val="22"/>
        </w:rPr>
        <w:t xml:space="preserve">10% downside</w:t>
      </w:r>
      <w:r>
        <w:rPr>
          <w:rFonts w:ascii="Calibri" w:cs="Calibri" w:eastAsia="Calibri" w:hAnsi="Calibri"/>
          <w:sz w:val="22"/>
          <w:szCs w:val="22"/>
        </w:rPr>
        <w:t xml:space="preserve"> from the current price of $377.84. The core issue is not the company — it is the entry point. STRL has re-rated from ~$177 in December 2024 to $377.84 in November 2025, a +113% rally that has pushed the trailing P/E multiple to approximately 45× — more than double its FY2024 exit multiple of 21×. The risk/reward is no longer attractive at current levels.</w:t>
      </w:r>
    </w:p>
    <w:p>
      <w:pPr>
        <w:pStyle w:val="Heading2"/>
        <w:spacing w:after="120" w:before="240"/>
      </w:pPr>
      <w:r>
        <w:rPr>
          <w:rFonts w:ascii="Calibri" w:cs="Calibri" w:eastAsia="Calibri" w:hAnsi="Calibri"/>
          <w:b/>
          <w:bCs/>
          <w:color w:val="000000"/>
          <w:sz w:val="26"/>
          <w:szCs w:val="26"/>
        </w:rPr>
        <w:t xml:space="preserve">Why Not Buy — Three Core Concerns</w:t>
      </w:r>
    </w:p>
    <w:p>
      <w:pPr>
        <w:pStyle w:val="ListParagraph"/>
        <w:numPr>
          <w:ilvl w:val="0"/>
          <w:numId w:val="2"/>
        </w:numPr>
        <w:spacing w:after="60" w:before="0" w:line="300"/>
      </w:pPr>
      <w:r>
        <w:rPr>
          <w:rFonts w:ascii="Calibri" w:cs="Calibri" w:eastAsia="Calibri" w:hAnsi="Calibri"/>
          <w:b/>
          <w:bCs/>
          <w:color w:val="000000"/>
          <w:sz w:val="22"/>
          <w:szCs w:val="22"/>
        </w:rPr>
        <w:t xml:space="preserve">Valuation has run ahead of fundamentals: </w:t>
      </w:r>
      <w:r>
        <w:rPr>
          <w:rFonts w:ascii="Calibri" w:cs="Calibri" w:eastAsia="Calibri" w:hAnsi="Calibri"/>
          <w:color w:val="000000"/>
          <w:sz w:val="22"/>
          <w:szCs w:val="22"/>
        </w:rPr>
        <w:t xml:space="preserve">Trailing P/E of ~45× sits well above the 10–21× range STRL has traded in historically, and above the peer median for U.S. infrastructure contractors. The market is already pricing in aggressive forward growth; any execution miss creates meaningful downside.</w:t>
      </w:r>
    </w:p>
    <w:p>
      <w:pPr>
        <w:pStyle w:val="ListParagraph"/>
        <w:numPr>
          <w:ilvl w:val="0"/>
          <w:numId w:val="2"/>
        </w:numPr>
        <w:spacing w:after="60" w:before="0" w:line="300"/>
      </w:pPr>
      <w:r>
        <w:rPr>
          <w:rFonts w:ascii="Calibri" w:cs="Calibri" w:eastAsia="Calibri" w:hAnsi="Calibri"/>
          <w:b/>
          <w:bCs/>
          <w:color w:val="000000"/>
          <w:sz w:val="22"/>
          <w:szCs w:val="22"/>
        </w:rPr>
        <w:t xml:space="preserve">Earnings quality overstated by a one-time gain: </w:t>
      </w:r>
      <w:r>
        <w:rPr>
          <w:rFonts w:ascii="Calibri" w:cs="Calibri" w:eastAsia="Calibri" w:hAnsi="Calibri"/>
          <w:color w:val="000000"/>
          <w:sz w:val="22"/>
          <w:szCs w:val="22"/>
        </w:rPr>
        <w:t xml:space="preserve">FY2024 reported net income of $258M includes a $91M gain on deconsolidation of a subsidiary. Adjusting for this non-recurring item, "clean" net income is ~$167M and growth moderates from +85.7% to approximately +20%. The headline numbers flatter the underlying trend.</w:t>
      </w:r>
    </w:p>
    <w:p>
      <w:pPr>
        <w:pStyle w:val="ListParagraph"/>
        <w:numPr>
          <w:ilvl w:val="0"/>
          <w:numId w:val="2"/>
        </w:numPr>
        <w:spacing w:after="60" w:before="0" w:line="300"/>
      </w:pPr>
      <w:r>
        <w:rPr>
          <w:rFonts w:ascii="Calibri" w:cs="Calibri" w:eastAsia="Calibri" w:hAnsi="Calibri"/>
          <w:b/>
          <w:bCs/>
          <w:color w:val="000000"/>
          <w:sz w:val="22"/>
          <w:szCs w:val="22"/>
        </w:rPr>
        <w:t xml:space="preserve">Asymmetric risk/reward after the rally: </w:t>
      </w:r>
      <w:r>
        <w:rPr>
          <w:rFonts w:ascii="Calibri" w:cs="Calibri" w:eastAsia="Calibri" w:hAnsi="Calibri"/>
          <w:color w:val="000000"/>
          <w:sz w:val="22"/>
          <w:szCs w:val="22"/>
        </w:rPr>
        <w:t xml:space="preserve">Having doubled in under a year, STRL now offers limited upside to reasonable price targets while retaining full exposure to execution risk, customer concentration in data centers, IIJA disbursement lags, and input cost inflation.</w:t>
      </w:r>
    </w:p>
    <w:p>
      <w:pPr>
        <w:pStyle w:val="Heading2"/>
        <w:spacing w:after="120" w:before="240"/>
      </w:pPr>
      <w:r>
        <w:rPr>
          <w:rFonts w:ascii="Calibri" w:cs="Calibri" w:eastAsia="Calibri" w:hAnsi="Calibri"/>
          <w:b/>
          <w:bCs/>
          <w:color w:val="000000"/>
          <w:sz w:val="26"/>
          <w:szCs w:val="26"/>
        </w:rPr>
        <w:t xml:space="preserve">What We Like (And Would Re-Visit At A Better Price)</w:t>
      </w:r>
    </w:p>
    <w:p>
      <w:pPr>
        <w:pStyle w:val="ListParagraph"/>
        <w:numPr>
          <w:ilvl w:val="0"/>
          <w:numId w:val="2"/>
        </w:numPr>
        <w:spacing w:after="60" w:before="0" w:line="300"/>
      </w:pPr>
      <w:r>
        <w:rPr>
          <w:rFonts w:ascii="Calibri" w:cs="Calibri" w:eastAsia="Calibri" w:hAnsi="Calibri"/>
          <w:b/>
          <w:bCs/>
          <w:color w:val="000000"/>
          <w:sz w:val="22"/>
          <w:szCs w:val="22"/>
        </w:rPr>
        <w:t xml:space="preserve">Margin expansion: </w:t>
      </w:r>
      <w:r>
        <w:rPr>
          <w:rFonts w:ascii="Calibri" w:cs="Calibri" w:eastAsia="Calibri" w:hAnsi="Calibri"/>
          <w:color w:val="000000"/>
          <w:sz w:val="22"/>
          <w:szCs w:val="22"/>
        </w:rPr>
        <w:t xml:space="preserve">Gross margin 14.6% → 20.1%; operating margin 7.5% → 12.5%; net margin 3.5% → 12.2% over five years.</w:t>
      </w:r>
    </w:p>
    <w:p>
      <w:pPr>
        <w:pStyle w:val="ListParagraph"/>
        <w:numPr>
          <w:ilvl w:val="0"/>
          <w:numId w:val="2"/>
        </w:numPr>
        <w:spacing w:after="60" w:before="0" w:line="300"/>
      </w:pPr>
      <w:r>
        <w:rPr>
          <w:rFonts w:ascii="Calibri" w:cs="Calibri" w:eastAsia="Calibri" w:hAnsi="Calibri"/>
          <w:b/>
          <w:bCs/>
          <w:color w:val="000000"/>
          <w:sz w:val="22"/>
          <w:szCs w:val="22"/>
        </w:rPr>
        <w:t xml:space="preserve">Balance sheet discipline: </w:t>
      </w:r>
      <w:r>
        <w:rPr>
          <w:rFonts w:ascii="Calibri" w:cs="Calibri" w:eastAsia="Calibri" w:hAnsi="Calibri"/>
          <w:color w:val="000000"/>
          <w:sz w:val="22"/>
          <w:szCs w:val="22"/>
        </w:rPr>
        <w:t xml:space="preserve">D/E compressed from 2.55× to 1.44×; $664M cash on hand; Altman Z-Score of 5.01 places STRL deep in the Safe Zone.</w:t>
      </w:r>
    </w:p>
    <w:p>
      <w:pPr>
        <w:pStyle w:val="ListParagraph"/>
        <w:numPr>
          <w:ilvl w:val="0"/>
          <w:numId w:val="2"/>
        </w:numPr>
        <w:spacing w:after="60" w:before="0" w:line="300"/>
      </w:pPr>
      <w:r>
        <w:rPr>
          <w:rFonts w:ascii="Calibri" w:cs="Calibri" w:eastAsia="Calibri" w:hAnsi="Calibri"/>
          <w:b/>
          <w:bCs/>
          <w:color w:val="000000"/>
          <w:sz w:val="22"/>
          <w:szCs w:val="22"/>
        </w:rPr>
        <w:t xml:space="preserve">Structural demand: </w:t>
      </w:r>
      <w:r>
        <w:rPr>
          <w:rFonts w:ascii="Calibri" w:cs="Calibri" w:eastAsia="Calibri" w:hAnsi="Calibri"/>
          <w:color w:val="000000"/>
          <w:sz w:val="22"/>
          <w:szCs w:val="22"/>
        </w:rPr>
        <w:t xml:space="preserve">$2.28B record backlog with ~70% convertible within 24 months; 22% operating margin in the E-Infrastructure segment.</w:t>
      </w:r>
    </w:p>
    <w:p>
      <w:pPr>
        <w:pStyle w:val="ListParagraph"/>
        <w:numPr>
          <w:ilvl w:val="0"/>
          <w:numId w:val="2"/>
        </w:numPr>
        <w:spacing w:after="60" w:before="0" w:line="300"/>
      </w:pPr>
      <w:r>
        <w:rPr>
          <w:rFonts w:ascii="Calibri" w:cs="Calibri" w:eastAsia="Calibri" w:hAnsi="Calibri"/>
          <w:b/>
          <w:bCs/>
          <w:color w:val="000000"/>
          <w:sz w:val="22"/>
          <w:szCs w:val="22"/>
        </w:rPr>
        <w:t xml:space="preserve">ROE trajectory: </w:t>
      </w:r>
      <w:r>
        <w:rPr>
          <w:rFonts w:ascii="Calibri" w:cs="Calibri" w:eastAsia="Calibri" w:hAnsi="Calibri"/>
          <w:color w:val="000000"/>
          <w:sz w:val="22"/>
          <w:szCs w:val="22"/>
        </w:rPr>
        <w:t xml:space="preserve">Expanded from 16.0% to 31.2% — and, per DuPont, driven by margin improvement rather than leverage.</w:t>
      </w:r>
    </w:p>
    <w:p>
      <w:pPr>
        <w:spacing w:after="80" w:before="120" w:line="300"/>
        <w:jc w:val="left"/>
      </w:pPr>
      <w:r>
        <w:rPr>
          <w:rFonts w:ascii="Calibri" w:cs="Calibri" w:eastAsia="Calibri" w:hAnsi="Calibri"/>
          <w:b/>
          <w:bCs/>
          <w:i w:val="false"/>
          <w:iCs w:val="false"/>
          <w:color w:val="000000"/>
          <w:sz w:val="22"/>
          <w:szCs w:val="22"/>
        </w:rPr>
        <w:t xml:space="preserve">Bottom line: </w:t>
      </w:r>
    </w:p>
    <w:p>
      <w:pPr>
        <w:spacing w:after="80" w:before="0" w:line="300"/>
        <w:jc w:val="left"/>
      </w:pPr>
      <w:r>
        <w:rPr>
          <w:rFonts w:ascii="Calibri" w:cs="Calibri" w:eastAsia="Calibri" w:hAnsi="Calibri"/>
          <w:b w:val="false"/>
          <w:bCs w:val="false"/>
          <w:i w:val="false"/>
          <w:iCs w:val="false"/>
          <w:color w:val="000000"/>
          <w:sz w:val="22"/>
          <w:szCs w:val="22"/>
        </w:rPr>
        <w:t xml:space="preserve">STRL is a high-quality business at a stretched price. We would revisit at approximately $300 or below — a level implying a more defensible ~36× trailing P/E — which would offer a credible margin of safety against execution risk.</w:t>
      </w:r>
    </w:p>
    <w:p>
      <w:pPr>
        <w:pStyle w:val="Heading1"/>
        <w:pBdr>
          <w:bottom w:val="single" w:color="000000" w:sz="12" w:space="4"/>
        </w:pBdr>
        <w:spacing w:after="180" w:before="360"/>
      </w:pPr>
      <w:r>
        <w:rPr>
          <w:rFonts w:ascii="Calibri" w:cs="Calibri" w:eastAsia="Calibri" w:hAnsi="Calibri"/>
          <w:b/>
          <w:bCs/>
          <w:color w:val="000000"/>
          <w:sz w:val="32"/>
          <w:szCs w:val="32"/>
        </w:rPr>
        <w:t xml:space="preserve">2. Company Overview</w:t>
      </w:r>
    </w:p>
    <w:p>
      <w:pPr>
        <w:spacing w:after="80" w:before="0" w:line="300"/>
        <w:jc w:val="left"/>
      </w:pPr>
      <w:r>
        <w:rPr>
          <w:rFonts w:ascii="Calibri" w:cs="Calibri" w:eastAsia="Calibri" w:hAnsi="Calibri"/>
          <w:b w:val="false"/>
          <w:bCs w:val="false"/>
          <w:i w:val="false"/>
          <w:iCs w:val="false"/>
          <w:color w:val="000000"/>
          <w:sz w:val="22"/>
          <w:szCs w:val="22"/>
        </w:rPr>
        <w:t xml:space="preserve">Sterling Infrastructure, Inc. (formerly Sterling Construction Company) is a Texas-headquartered infrastructure services firm operating across three core business segments throughout the United States, with operations concentrated in high-growth Sunbelt markets including Texas, Arizona, Nevada, Utah, and the Rocky Mountain region.</w:t>
      </w:r>
    </w:p>
    <w:p>
      <w:pPr>
        <w:spacing w:after="100" w:before="180"/>
      </w:pPr>
      <w:r>
        <w:rPr>
          <w:rFonts w:ascii="Calibri" w:cs="Calibri" w:eastAsia="Calibri" w:hAnsi="Calibri"/>
          <w:b/>
          <w:bCs/>
          <w:color w:val="000000"/>
          <w:sz w:val="23"/>
          <w:szCs w:val="23"/>
        </w:rPr>
        <w:t xml:space="preserve">Business Segments</w:t>
      </w:r>
    </w:p>
    <w:p>
      <w:pPr>
        <w:pStyle w:val="ListParagraph"/>
        <w:numPr>
          <w:ilvl w:val="0"/>
          <w:numId w:val="2"/>
        </w:numPr>
        <w:spacing w:after="60" w:before="0" w:line="300"/>
      </w:pPr>
      <w:r>
        <w:rPr>
          <w:rFonts w:ascii="Calibri" w:cs="Calibri" w:eastAsia="Calibri" w:hAnsi="Calibri"/>
          <w:b/>
          <w:bCs/>
          <w:color w:val="000000"/>
          <w:sz w:val="22"/>
          <w:szCs w:val="22"/>
        </w:rPr>
        <w:t xml:space="preserve">E-Infrastructure Solutions: </w:t>
      </w:r>
      <w:r>
        <w:rPr>
          <w:rFonts w:ascii="Calibri" w:cs="Calibri" w:eastAsia="Calibri" w:hAnsi="Calibri"/>
          <w:color w:val="000000"/>
          <w:sz w:val="22"/>
          <w:szCs w:val="22"/>
        </w:rPr>
        <w:t xml:space="preserve">Site development for data centers, e-commerce distribution, manufacturing, and warehousing. 22% operating margin — the highest-margin, fastest-growing segment and the primary driver of recent re-rating.</w:t>
      </w:r>
    </w:p>
    <w:p>
      <w:pPr>
        <w:pStyle w:val="ListParagraph"/>
        <w:numPr>
          <w:ilvl w:val="0"/>
          <w:numId w:val="2"/>
        </w:numPr>
        <w:spacing w:after="60" w:before="0" w:line="300"/>
      </w:pPr>
      <w:r>
        <w:rPr>
          <w:rFonts w:ascii="Calibri" w:cs="Calibri" w:eastAsia="Calibri" w:hAnsi="Calibri"/>
          <w:b/>
          <w:bCs/>
          <w:color w:val="000000"/>
          <w:sz w:val="22"/>
          <w:szCs w:val="22"/>
        </w:rPr>
        <w:t xml:space="preserve">Transportation Solutions: </w:t>
      </w:r>
      <w:r>
        <w:rPr>
          <w:rFonts w:ascii="Calibri" w:cs="Calibri" w:eastAsia="Calibri" w:hAnsi="Calibri"/>
          <w:color w:val="000000"/>
          <w:sz w:val="22"/>
          <w:szCs w:val="22"/>
        </w:rPr>
        <w:t xml:space="preserve">Highways, roads, bridges, airports, light rail, and other public infrastructure. 6.5% operating margin; an IIJA-era beneficiary, though margins remain structurally lower.</w:t>
      </w:r>
    </w:p>
    <w:p>
      <w:pPr>
        <w:pStyle w:val="ListParagraph"/>
        <w:numPr>
          <w:ilvl w:val="0"/>
          <w:numId w:val="2"/>
        </w:numPr>
        <w:spacing w:after="60" w:before="0" w:line="300"/>
      </w:pPr>
      <w:r>
        <w:rPr>
          <w:rFonts w:ascii="Calibri" w:cs="Calibri" w:eastAsia="Calibri" w:hAnsi="Calibri"/>
          <w:b/>
          <w:bCs/>
          <w:color w:val="000000"/>
          <w:sz w:val="22"/>
          <w:szCs w:val="22"/>
        </w:rPr>
        <w:t xml:space="preserve">Building Solutions: </w:t>
      </w:r>
      <w:r>
        <w:rPr>
          <w:rFonts w:ascii="Calibri" w:cs="Calibri" w:eastAsia="Calibri" w:hAnsi="Calibri"/>
          <w:color w:val="000000"/>
          <w:sz w:val="22"/>
          <w:szCs w:val="22"/>
        </w:rPr>
        <w:t xml:space="preserve">Residential and commercial concrete foundations and slabs, primarily in Dallas-Fort Worth, Houston, and Phoenix; more cyclical exposure to housing demand.</w:t>
      </w:r>
    </w:p>
    <w:p>
      <w:pPr>
        <w:pStyle w:val="Heading2"/>
        <w:spacing w:after="120" w:before="240"/>
      </w:pPr>
      <w:r>
        <w:rPr>
          <w:rFonts w:ascii="Calibri" w:cs="Calibri" w:eastAsia="Calibri" w:hAnsi="Calibri"/>
          <w:b/>
          <w:bCs/>
          <w:color w:val="000000"/>
          <w:sz w:val="26"/>
          <w:szCs w:val="26"/>
        </w:rPr>
        <w:t xml:space="preserve">Financial Snapshot (FY2022–FY2024)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600"/>
      </w:tblGrid>
      <w:tr>
        <w:trPr>
          <w:tblHeader/>
        </w:trPr>
        <w:tc>
          <w:tcPr>
            <w:tcW w:type="dxa" w:w="30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Metric ($ millions)</w:t>
            </w:r>
          </w:p>
        </w:tc>
        <w:tc>
          <w:tcPr>
            <w:tcW w:type="dxa" w:w="16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FY2022</w:t>
            </w:r>
          </w:p>
        </w:tc>
        <w:tc>
          <w:tcPr>
            <w:tcW w:type="dxa" w:w="16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FY2023</w:t>
            </w:r>
          </w:p>
        </w:tc>
        <w:tc>
          <w:tcPr>
            <w:tcW w:type="dxa" w:w="16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FY2024</w:t>
            </w:r>
          </w:p>
        </w:tc>
        <w:tc>
          <w:tcPr>
            <w:tcW w:type="dxa" w:w="16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YoY Δ</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Revenue</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$1,769</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$1,972</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$2,116</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+7.3%</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Gross Profit</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$275</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$338</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$426</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+26.2%</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Operating Income</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$160</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$206</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$265</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+28.6%</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EBITDA</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$212</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$263</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$333</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+26.5%</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Reported Net Income</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$97</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$139</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$257</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+85.7%*</w:t>
            </w:r>
          </w:p>
        </w:tc>
      </w:tr>
      <w:tr>
        <w:tc>
          <w:tcPr>
            <w:tcW w:type="dxa" w:w="30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Adj. Net Income (ex. gain)</w:t>
            </w:r>
          </w:p>
        </w:tc>
        <w:tc>
          <w:tcPr>
            <w:tcW w:type="dxa" w:w="16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$97</w:t>
            </w:r>
          </w:p>
        </w:tc>
        <w:tc>
          <w:tcPr>
            <w:tcW w:type="dxa" w:w="16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$139</w:t>
            </w:r>
          </w:p>
        </w:tc>
        <w:tc>
          <w:tcPr>
            <w:tcW w:type="dxa" w:w="16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~$167</w:t>
            </w:r>
          </w:p>
        </w:tc>
        <w:tc>
          <w:tcPr>
            <w:tcW w:type="dxa" w:w="16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+20.1%</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Diluted EPS ($)</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$3.16</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$4.44</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$8.27</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+86.3%*</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Operating Cash Flow</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$219</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$479</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$497</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+3.9%</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Cash &amp; Equivalents</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$182</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$472</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$664</w:t>
            </w:r>
          </w:p>
        </w:tc>
        <w:tc>
          <w:tcPr>
            <w:tcW w:type="dxa" w:w="16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+40.9%</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Stockholders' Equity</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$478</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$624</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$826</w:t>
            </w:r>
          </w:p>
        </w:tc>
        <w:tc>
          <w:tcPr>
            <w:tcW w:type="dxa" w:w="16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+32.5%</w:t>
            </w:r>
          </w:p>
        </w:tc>
      </w:tr>
    </w:tbl>
    <w:p>
      <w:pPr>
        <w:spacing w:after="80" w:before="120" w:line="300"/>
        <w:jc w:val="left"/>
      </w:pPr>
      <w:r>
        <w:rPr>
          <w:rFonts w:ascii="Calibri" w:cs="Calibri" w:eastAsia="Calibri" w:hAnsi="Calibri"/>
          <w:b w:val="false"/>
          <w:bCs w:val="false"/>
          <w:i/>
          <w:iCs/>
          <w:color w:val="404040"/>
          <w:sz w:val="18"/>
          <w:szCs w:val="18"/>
        </w:rPr>
        <w:t xml:space="preserve">*FY2024 reported net income includes a $91M gain on deconsolidation of subsidiary (non-recurring). Adjusted line shown in highlighted row. Sources: Company 10-K filings, SEC EDGAR.</w:t>
      </w:r>
    </w:p>
    <w:p>
      <w:pPr>
        <w:pStyle w:val="Heading1"/>
        <w:pBdr>
          <w:bottom w:val="single" w:color="000000" w:sz="12" w:space="4"/>
        </w:pBdr>
        <w:spacing w:after="180" w:before="360"/>
      </w:pPr>
      <w:r>
        <w:rPr>
          <w:rFonts w:ascii="Calibri" w:cs="Calibri" w:eastAsia="Calibri" w:hAnsi="Calibri"/>
          <w:b/>
          <w:bCs/>
          <w:color w:val="000000"/>
          <w:sz w:val="32"/>
          <w:szCs w:val="32"/>
        </w:rPr>
        <w:t xml:space="preserve">3. Ratio Analysis</w:t>
      </w:r>
    </w:p>
    <w:p>
      <w:pPr>
        <w:spacing w:after="80" w:before="0" w:line="300"/>
        <w:jc w:val="left"/>
      </w:pPr>
      <w:r>
        <w:rPr>
          <w:rFonts w:ascii="Calibri" w:cs="Calibri" w:eastAsia="Calibri" w:hAnsi="Calibri"/>
          <w:b w:val="false"/>
          <w:bCs w:val="false"/>
          <w:i w:val="false"/>
          <w:iCs w:val="false"/>
          <w:color w:val="000000"/>
          <w:sz w:val="22"/>
          <w:szCs w:val="22"/>
        </w:rPr>
        <w:t xml:space="preserve">The following section decomposes STRL's financial performance across five ratio categories — Liquidity, Leverage, Efficiency, Profitability, and Market Value — using audited 10-K data from FY2020 through FY2024.</w:t>
      </w:r>
    </w:p>
    <w:p>
      <w:pPr>
        <w:spacing w:after="100" w:before="180"/>
      </w:pPr>
      <w:r>
        <w:rPr>
          <w:rFonts w:ascii="Calibri" w:cs="Calibri" w:eastAsia="Calibri" w:hAnsi="Calibri"/>
          <w:b/>
          <w:bCs/>
          <w:color w:val="000000"/>
          <w:sz w:val="23"/>
          <w:szCs w:val="23"/>
        </w:rPr>
        <w:t xml:space="preserve">3.1  Liquidity Ratios</w:t>
      </w:r>
    </w:p>
    <w:p>
      <w:pPr>
        <w:spacing w:after="80" w:before="0" w:line="300"/>
        <w:jc w:val="left"/>
      </w:pPr>
      <w:r>
        <w:rPr>
          <w:rFonts w:ascii="Calibri" w:cs="Calibri" w:eastAsia="Calibri" w:hAnsi="Calibri"/>
          <w:b w:val="false"/>
          <w:bCs w:val="false"/>
          <w:i w:val="false"/>
          <w:iCs w:val="false"/>
          <w:color w:val="000000"/>
          <w:sz w:val="22"/>
          <w:szCs w:val="22"/>
        </w:rPr>
        <w:t xml:space="preserve">All three liquidity metrics have improved over the five-year window, reflecting genuine operational strength.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380"/>
        <w:gridCol w:w="1480"/>
      </w:tblGrid>
      <w:tr>
        <w:trPr>
          <w:tblHeader/>
        </w:trPr>
        <w:tc>
          <w:tcPr>
            <w:tcW w:type="dxa" w:w="24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Ratio</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24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Current Ratio</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1.12</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1.24</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1.34</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1.25</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1.38</w:t>
            </w:r>
          </w:p>
        </w:tc>
      </w:tr>
      <w:tr>
        <w:tc>
          <w:tcPr>
            <w:tcW w:type="dxa" w:w="24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Quick Ratio</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0.76</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0.89</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0.99</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1.07</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1.23</w:t>
            </w:r>
          </w:p>
        </w:tc>
      </w:tr>
      <w:tr>
        <w:tc>
          <w:tcPr>
            <w:tcW w:type="dxa" w:w="24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Cash Ratio</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0.21</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0.23</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0.41</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0.70</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0.90</w:t>
            </w:r>
          </w:p>
        </w:tc>
      </w:tr>
    </w:tbl>
    <w:p>
      <w:pPr>
        <w:spacing w:after="80" w:before="120" w:line="300"/>
        <w:jc w:val="left"/>
      </w:pPr>
      <w:r>
        <w:rPr>
          <w:rFonts w:ascii="Calibri" w:cs="Calibri" w:eastAsia="Calibri" w:hAnsi="Calibri"/>
          <w:b/>
          <w:bCs/>
          <w:i w:val="false"/>
          <w:iCs w:val="false"/>
          <w:color w:val="000000"/>
          <w:sz w:val="22"/>
          <w:szCs w:val="22"/>
        </w:rPr>
        <w:t xml:space="preserve">Takeaway: </w:t>
      </w:r>
    </w:p>
    <w:p>
      <w:pPr>
        <w:pStyle w:val="ListParagraph"/>
        <w:numPr>
          <w:ilvl w:val="0"/>
          <w:numId w:val="2"/>
        </w:numPr>
        <w:spacing w:after="60" w:before="0" w:line="300"/>
      </w:pPr>
      <w:r>
        <w:rPr>
          <w:rFonts w:ascii="Calibri" w:cs="Calibri" w:eastAsia="Calibri" w:hAnsi="Calibri"/>
          <w:b/>
          <w:bCs/>
          <w:color w:val="000000"/>
          <w:sz w:val="22"/>
          <w:szCs w:val="22"/>
        </w:rPr>
        <w:t xml:space="preserve">Current Ratio (1.38): </w:t>
      </w:r>
      <w:r>
        <w:rPr>
          <w:rFonts w:ascii="Calibri" w:cs="Calibri" w:eastAsia="Calibri" w:hAnsi="Calibri"/>
          <w:color w:val="000000"/>
          <w:sz w:val="22"/>
          <w:szCs w:val="22"/>
        </w:rPr>
        <w:t xml:space="preserve">Comfortably above the 1.2–1.5 sector sweet spot; no near-term working capital concerns.</w:t>
      </w:r>
    </w:p>
    <w:p>
      <w:pPr>
        <w:pStyle w:val="ListParagraph"/>
        <w:numPr>
          <w:ilvl w:val="0"/>
          <w:numId w:val="2"/>
        </w:numPr>
        <w:spacing w:after="60" w:before="0" w:line="300"/>
      </w:pPr>
      <w:r>
        <w:rPr>
          <w:rFonts w:ascii="Calibri" w:cs="Calibri" w:eastAsia="Calibri" w:hAnsi="Calibri"/>
          <w:b/>
          <w:bCs/>
          <w:color w:val="000000"/>
          <w:sz w:val="22"/>
          <w:szCs w:val="22"/>
        </w:rPr>
        <w:t xml:space="preserve">Quick Ratio (1.23): </w:t>
      </w:r>
      <w:r>
        <w:rPr>
          <w:rFonts w:ascii="Calibri" w:cs="Calibri" w:eastAsia="Calibri" w:hAnsi="Calibri"/>
          <w:color w:val="000000"/>
          <w:sz w:val="22"/>
          <w:szCs w:val="22"/>
        </w:rPr>
        <w:t xml:space="preserve">Crossed above 1.0 in 2024 — STRL can meet short-term obligations without liquidating inventory.</w:t>
      </w:r>
    </w:p>
    <w:p>
      <w:pPr>
        <w:pStyle w:val="ListParagraph"/>
        <w:numPr>
          <w:ilvl w:val="0"/>
          <w:numId w:val="2"/>
        </w:numPr>
        <w:spacing w:after="60" w:before="0" w:line="300"/>
      </w:pPr>
      <w:r>
        <w:rPr>
          <w:rFonts w:ascii="Calibri" w:cs="Calibri" w:eastAsia="Calibri" w:hAnsi="Calibri"/>
          <w:b/>
          <w:bCs/>
          <w:color w:val="000000"/>
          <w:sz w:val="22"/>
          <w:szCs w:val="22"/>
        </w:rPr>
        <w:t xml:space="preserve">Cash Ratio (0.90): </w:t>
      </w:r>
      <w:r>
        <w:rPr>
          <w:rFonts w:ascii="Calibri" w:cs="Calibri" w:eastAsia="Calibri" w:hAnsi="Calibri"/>
          <w:color w:val="000000"/>
          <w:sz w:val="22"/>
          <w:szCs w:val="22"/>
        </w:rPr>
        <w:t xml:space="preserve">A 4.3× improvement since 2020. Strong — but also contributes to the Asset Turnover decline discussed later.</w:t>
      </w:r>
    </w:p>
    <w:p>
      <w:pPr>
        <w:spacing w:after="100" w:before="180"/>
      </w:pPr>
      <w:r>
        <w:rPr>
          <w:rFonts w:ascii="Calibri" w:cs="Calibri" w:eastAsia="Calibri" w:hAnsi="Calibri"/>
          <w:b/>
          <w:bCs/>
          <w:color w:val="000000"/>
          <w:sz w:val="23"/>
          <w:szCs w:val="23"/>
        </w:rPr>
        <w:t xml:space="preserve">3.2  Leverage (Solvency) Ratios</w:t>
      </w:r>
    </w:p>
    <w:p>
      <w:pPr>
        <w:spacing w:after="80" w:before="0" w:line="300"/>
        <w:jc w:val="left"/>
      </w:pPr>
      <w:r>
        <w:rPr>
          <w:rFonts w:ascii="Calibri" w:cs="Calibri" w:eastAsia="Calibri" w:hAnsi="Calibri"/>
          <w:b w:val="false"/>
          <w:bCs w:val="false"/>
          <w:i w:val="false"/>
          <w:iCs w:val="false"/>
          <w:color w:val="000000"/>
          <w:sz w:val="22"/>
          <w:szCs w:val="22"/>
        </w:rPr>
        <w:t xml:space="preserve">STRL has systematically deleveraged, strengthening the equity base and reducing debt dependence.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380"/>
        <w:gridCol w:w="1480"/>
      </w:tblGrid>
      <w:tr>
        <w:trPr>
          <w:tblHeader/>
        </w:trPr>
        <w:tc>
          <w:tcPr>
            <w:tcW w:type="dxa" w:w="24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Ratio</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3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24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Debt-to-Equity</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2.55</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2.42</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2.02</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1.85</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1.44</w:t>
            </w:r>
          </w:p>
        </w:tc>
      </w:tr>
      <w:tr>
        <w:tc>
          <w:tcPr>
            <w:tcW w:type="dxa" w:w="24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Debt-to-Assets</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0.72</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0.71</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0.67</w:t>
            </w:r>
          </w:p>
        </w:tc>
        <w:tc>
          <w:tcPr>
            <w:tcW w:type="dxa" w:w="13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0.65</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0.59</w:t>
            </w:r>
          </w:p>
        </w:tc>
      </w:tr>
      <w:tr>
        <w:tc>
          <w:tcPr>
            <w:tcW w:type="dxa" w:w="24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Equity Ratio</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0.28</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0.29</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0.33</w:t>
            </w:r>
          </w:p>
        </w:tc>
        <w:tc>
          <w:tcPr>
            <w:tcW w:type="dxa" w:w="13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0.35</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0.41</w:t>
            </w:r>
          </w:p>
        </w:tc>
      </w:tr>
    </w:tbl>
    <w:p>
      <w:pPr>
        <w:spacing w:after="80" w:before="120" w:line="300"/>
        <w:jc w:val="left"/>
      </w:pPr>
      <w:r>
        <w:rPr>
          <w:rFonts w:ascii="Calibri" w:cs="Calibri" w:eastAsia="Calibri" w:hAnsi="Calibri"/>
          <w:b/>
          <w:bCs/>
          <w:i w:val="false"/>
          <w:iCs w:val="false"/>
          <w:color w:val="000000"/>
          <w:sz w:val="22"/>
          <w:szCs w:val="22"/>
        </w:rPr>
        <w:t xml:space="preserve">Takeaway: </w:t>
      </w:r>
    </w:p>
    <w:p>
      <w:pPr>
        <w:pStyle w:val="ListParagraph"/>
        <w:numPr>
          <w:ilvl w:val="0"/>
          <w:numId w:val="2"/>
        </w:numPr>
        <w:spacing w:after="60" w:before="0" w:line="300"/>
      </w:pPr>
      <w:r>
        <w:rPr>
          <w:rFonts w:ascii="Calibri" w:cs="Calibri" w:eastAsia="Calibri" w:hAnsi="Calibri"/>
          <w:b/>
          <w:bCs/>
          <w:color w:val="000000"/>
          <w:sz w:val="22"/>
          <w:szCs w:val="22"/>
        </w:rPr>
        <w:t xml:space="preserve">D/E collapsed from 2.55 to 1.44: </w:t>
      </w:r>
      <w:r>
        <w:rPr>
          <w:rFonts w:ascii="Calibri" w:cs="Calibri" w:eastAsia="Calibri" w:hAnsi="Calibri"/>
          <w:color w:val="000000"/>
          <w:sz w:val="22"/>
          <w:szCs w:val="22"/>
        </w:rPr>
        <w:t xml:space="preserve">A 43% reduction in leverage — capital structure is now decisively equity-weighted.</w:t>
      </w:r>
    </w:p>
    <w:p>
      <w:pPr>
        <w:pStyle w:val="ListParagraph"/>
        <w:numPr>
          <w:ilvl w:val="0"/>
          <w:numId w:val="2"/>
        </w:numPr>
        <w:spacing w:after="60" w:before="0" w:line="300"/>
      </w:pPr>
      <w:r>
        <w:rPr>
          <w:rFonts w:ascii="Calibri" w:cs="Calibri" w:eastAsia="Calibri" w:hAnsi="Calibri"/>
          <w:b/>
          <w:bCs/>
          <w:color w:val="000000"/>
          <w:sz w:val="22"/>
          <w:szCs w:val="22"/>
        </w:rPr>
        <w:t xml:space="preserve">Equity Ratio up from 28% to 41%: </w:t>
      </w:r>
      <w:r>
        <w:rPr>
          <w:rFonts w:ascii="Calibri" w:cs="Calibri" w:eastAsia="Calibri" w:hAnsi="Calibri"/>
          <w:color w:val="000000"/>
          <w:sz w:val="22"/>
          <w:szCs w:val="22"/>
        </w:rPr>
        <w:t xml:space="preserve">The asset base is increasingly self-funded, reducing exposure to interest rate shocks.</w:t>
      </w:r>
    </w:p>
    <w:p>
      <w:pPr>
        <w:pStyle w:val="ListParagraph"/>
        <w:numPr>
          <w:ilvl w:val="0"/>
          <w:numId w:val="2"/>
        </w:numPr>
        <w:spacing w:after="60" w:before="0" w:line="300"/>
      </w:pPr>
      <w:r>
        <w:rPr>
          <w:rFonts w:ascii="Calibri" w:cs="Calibri" w:eastAsia="Calibri" w:hAnsi="Calibri"/>
          <w:b/>
          <w:bCs/>
          <w:color w:val="000000"/>
          <w:sz w:val="22"/>
          <w:szCs w:val="22"/>
        </w:rPr>
        <w:t xml:space="preserve">Observation: </w:t>
      </w:r>
      <w:r>
        <w:rPr>
          <w:rFonts w:ascii="Calibri" w:cs="Calibri" w:eastAsia="Calibri" w:hAnsi="Calibri"/>
          <w:color w:val="000000"/>
          <w:sz w:val="22"/>
          <w:szCs w:val="22"/>
        </w:rPr>
        <w:t xml:space="preserve">Balance sheet health is a clear positive and part of why we rate the company (not the stock) favorably.</w:t>
      </w:r>
    </w:p>
    <w:p>
      <w:pPr>
        <w:spacing w:after="100" w:before="180"/>
      </w:pPr>
      <w:r>
        <w:rPr>
          <w:rFonts w:ascii="Calibri" w:cs="Calibri" w:eastAsia="Calibri" w:hAnsi="Calibri"/>
          <w:b/>
          <w:bCs/>
          <w:color w:val="000000"/>
          <w:sz w:val="23"/>
          <w:szCs w:val="23"/>
        </w:rPr>
        <w:t xml:space="preserve">3.3  Efficiency (Activity) Ratios</w:t>
      </w:r>
    </w:p>
    <w:p>
      <w:pPr>
        <w:spacing w:after="80" w:before="0" w:line="300"/>
        <w:jc w:val="left"/>
      </w:pPr>
      <w:r>
        <w:rPr>
          <w:rFonts w:ascii="Calibri" w:cs="Calibri" w:eastAsia="Calibri" w:hAnsi="Calibri"/>
          <w:b w:val="false"/>
          <w:bCs w:val="false"/>
          <w:i w:val="false"/>
          <w:iCs w:val="false"/>
          <w:color w:val="000000"/>
          <w:sz w:val="22"/>
          <w:szCs w:val="22"/>
        </w:rPr>
        <w:t xml:space="preserve">Operating efficiency is mixed: collection discipline has improved significantly, but asset productivity has softened as cash accumulates.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80"/>
        <w:gridCol w:w="1280"/>
        <w:gridCol w:w="1280"/>
        <w:gridCol w:w="1280"/>
        <w:gridCol w:w="1280"/>
      </w:tblGrid>
      <w:tr>
        <w:trPr>
          <w:tblHeader/>
        </w:trPr>
        <w:tc>
          <w:tcPr>
            <w:tcW w:type="dxa" w:w="30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Ratio</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Asset Turnover (×)</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1.28</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1.30</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1.32</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1.23</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1.12</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Receivables Turnover (×)</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5.76</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6.91</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7.15</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7.66</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8.47</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Payables Turnover (×)</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9.00</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10.08</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11.20</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12.21</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11.97</w:t>
            </w:r>
          </w:p>
        </w:tc>
      </w:tr>
    </w:tbl>
    <w:p>
      <w:pPr>
        <w:spacing w:after="80" w:before="120" w:line="300"/>
        <w:jc w:val="left"/>
      </w:pPr>
      <w:r>
        <w:rPr>
          <w:rFonts w:ascii="Calibri" w:cs="Calibri" w:eastAsia="Calibri" w:hAnsi="Calibri"/>
          <w:b/>
          <w:bCs/>
          <w:i w:val="false"/>
          <w:iCs w:val="false"/>
          <w:color w:val="000000"/>
          <w:sz w:val="22"/>
          <w:szCs w:val="22"/>
        </w:rPr>
        <w:t xml:space="preserve">Takeaway: </w:t>
      </w:r>
    </w:p>
    <w:p>
      <w:pPr>
        <w:pStyle w:val="ListParagraph"/>
        <w:numPr>
          <w:ilvl w:val="0"/>
          <w:numId w:val="2"/>
        </w:numPr>
        <w:spacing w:after="60" w:before="0" w:line="300"/>
      </w:pPr>
      <w:r>
        <w:rPr>
          <w:rFonts w:ascii="Calibri" w:cs="Calibri" w:eastAsia="Calibri" w:hAnsi="Calibri"/>
          <w:b/>
          <w:bCs/>
          <w:color w:val="000000"/>
          <w:sz w:val="22"/>
          <w:szCs w:val="22"/>
        </w:rPr>
        <w:t xml:space="preserve">Receivables Turnover at 8.47× (43-day DSO): </w:t>
      </w:r>
      <w:r>
        <w:rPr>
          <w:rFonts w:ascii="Calibri" w:cs="Calibri" w:eastAsia="Calibri" w:hAnsi="Calibri"/>
          <w:color w:val="000000"/>
          <w:sz w:val="22"/>
          <w:szCs w:val="22"/>
        </w:rPr>
        <w:t xml:space="preserve">Best-in-class collection efficiency, up from 63 days in 2020.</w:t>
      </w:r>
    </w:p>
    <w:p>
      <w:pPr>
        <w:pStyle w:val="ListParagraph"/>
        <w:numPr>
          <w:ilvl w:val="0"/>
          <w:numId w:val="2"/>
        </w:numPr>
        <w:spacing w:after="60" w:before="0" w:line="300"/>
      </w:pPr>
      <w:r>
        <w:rPr>
          <w:rFonts w:ascii="Calibri" w:cs="Calibri" w:eastAsia="Calibri" w:hAnsi="Calibri"/>
          <w:b/>
          <w:bCs/>
          <w:color w:val="000000"/>
          <w:sz w:val="22"/>
          <w:szCs w:val="22"/>
        </w:rPr>
        <w:t xml:space="preserve">Asset Turnover step-down from 1.32× to 1.12×: </w:t>
      </w:r>
      <w:r>
        <w:rPr>
          <w:rFonts w:ascii="Calibri" w:cs="Calibri" w:eastAsia="Calibri" w:hAnsi="Calibri"/>
          <w:color w:val="000000"/>
          <w:sz w:val="22"/>
          <w:szCs w:val="22"/>
        </w:rPr>
        <w:t xml:space="preserve">A 15% decline in asset productivity since 2022. While partly driven by the cash build, a persistent decline would weaken the ROE math if margins normalize.</w:t>
      </w:r>
    </w:p>
    <w:p>
      <w:pPr>
        <w:pStyle w:val="ListParagraph"/>
        <w:numPr>
          <w:ilvl w:val="0"/>
          <w:numId w:val="2"/>
        </w:numPr>
        <w:spacing w:after="60" w:before="0" w:line="300"/>
      </w:pPr>
      <w:r>
        <w:rPr>
          <w:rFonts w:ascii="Calibri" w:cs="Calibri" w:eastAsia="Calibri" w:hAnsi="Calibri"/>
          <w:b/>
          <w:bCs/>
          <w:color w:val="000000"/>
          <w:sz w:val="22"/>
          <w:szCs w:val="22"/>
        </w:rPr>
        <w:t xml:space="preserve">Payables Turnover stable at ~12×: </w:t>
      </w:r>
      <w:r>
        <w:rPr>
          <w:rFonts w:ascii="Calibri" w:cs="Calibri" w:eastAsia="Calibri" w:hAnsi="Calibri"/>
          <w:color w:val="000000"/>
          <w:sz w:val="22"/>
          <w:szCs w:val="22"/>
        </w:rPr>
        <w:t xml:space="preserve">Balanced supplier terms — neither stretching nor overpaying.</w:t>
      </w:r>
    </w:p>
    <w:p>
      <w:pPr>
        <w:spacing w:after="100" w:before="180"/>
      </w:pPr>
      <w:r>
        <w:rPr>
          <w:rFonts w:ascii="Calibri" w:cs="Calibri" w:eastAsia="Calibri" w:hAnsi="Calibri"/>
          <w:b/>
          <w:bCs/>
          <w:color w:val="000000"/>
          <w:sz w:val="23"/>
          <w:szCs w:val="23"/>
        </w:rPr>
        <w:t xml:space="preserve">3.4  Profitability Ratios</w:t>
      </w:r>
    </w:p>
    <w:p>
      <w:pPr>
        <w:spacing w:after="80" w:before="0" w:line="300"/>
        <w:jc w:val="left"/>
      </w:pPr>
      <w:r>
        <w:rPr>
          <w:rFonts w:ascii="Calibri" w:cs="Calibri" w:eastAsia="Calibri" w:hAnsi="Calibri"/>
          <w:b w:val="false"/>
          <w:bCs w:val="false"/>
          <w:i w:val="false"/>
          <w:iCs w:val="false"/>
          <w:color w:val="000000"/>
          <w:sz w:val="22"/>
          <w:szCs w:val="22"/>
        </w:rPr>
        <w:t xml:space="preserve">Profitability expansion is real — but 2024 is flattered by the one-time $91M deconsolidation gain.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80"/>
        <w:gridCol w:w="1280"/>
        <w:gridCol w:w="1280"/>
        <w:gridCol w:w="1280"/>
        <w:gridCol w:w="1280"/>
      </w:tblGrid>
      <w:tr>
        <w:trPr>
          <w:tblHeader/>
        </w:trPr>
        <w:tc>
          <w:tcPr>
            <w:tcW w:type="dxa" w:w="30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Ratio</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2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Gross Profit Margin</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14.6%</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14.4%</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15.5%</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17.1%</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20.1%</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Operating Profit Margin</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7.5%</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7.6%</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9.0%</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10.4%</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12.5%</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Net Profit Margin*</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3.5%</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4.3%</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5.5%</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7.0%</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12.2%</w:t>
            </w:r>
          </w:p>
        </w:tc>
      </w:tr>
      <w:tr>
        <w:tc>
          <w:tcPr>
            <w:tcW w:type="dxa" w:w="3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Return on Assets (ROA)*</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4.5%</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5.6%</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7.2%</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8.6%</w:t>
            </w:r>
          </w:p>
        </w:tc>
        <w:tc>
          <w:tcPr>
            <w:tcW w:type="dxa" w:w="12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13.6%</w:t>
            </w:r>
          </w:p>
        </w:tc>
      </w:tr>
      <w:tr>
        <w:tc>
          <w:tcPr>
            <w:tcW w:type="dxa" w:w="3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Return on Equity (ROE)*</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16.0%</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17.1%</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20.2%</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22.2%</w:t>
            </w:r>
          </w:p>
        </w:tc>
        <w:tc>
          <w:tcPr>
            <w:tcW w:type="dxa" w:w="12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31.2%</w:t>
            </w:r>
          </w:p>
        </w:tc>
      </w:tr>
    </w:tbl>
    <w:p>
      <w:pPr>
        <w:spacing w:after="80" w:before="80" w:line="300"/>
        <w:jc w:val="left"/>
      </w:pPr>
      <w:r>
        <w:rPr>
          <w:rFonts w:ascii="Calibri" w:cs="Calibri" w:eastAsia="Calibri" w:hAnsi="Calibri"/>
          <w:b w:val="false"/>
          <w:bCs w:val="false"/>
          <w:i/>
          <w:iCs/>
          <w:color w:val="404040"/>
          <w:sz w:val="18"/>
          <w:szCs w:val="18"/>
        </w:rPr>
        <w:t xml:space="preserve">*Note: 2024 net-income-based metrics (NPM, ROA, ROE) include a $91M one-time gain. Adjusted NPM is ~7.9%; adjusted ROE is ~20–21%, more consistent with the underlying trend.</w:t>
      </w:r>
    </w:p>
    <w:p>
      <w:pPr>
        <w:spacing w:after="80" w:before="120" w:line="300"/>
        <w:jc w:val="left"/>
      </w:pPr>
      <w:r>
        <w:rPr>
          <w:rFonts w:ascii="Calibri" w:cs="Calibri" w:eastAsia="Calibri" w:hAnsi="Calibri"/>
          <w:b/>
          <w:bCs/>
          <w:i w:val="false"/>
          <w:iCs w:val="false"/>
          <w:color w:val="000000"/>
          <w:sz w:val="22"/>
          <w:szCs w:val="22"/>
        </w:rPr>
        <w:t xml:space="preserve">Takeaway: </w:t>
      </w:r>
    </w:p>
    <w:p>
      <w:pPr>
        <w:pStyle w:val="ListParagraph"/>
        <w:numPr>
          <w:ilvl w:val="0"/>
          <w:numId w:val="2"/>
        </w:numPr>
        <w:spacing w:after="60" w:before="0" w:line="300"/>
      </w:pPr>
      <w:r>
        <w:rPr>
          <w:rFonts w:ascii="Calibri" w:cs="Calibri" w:eastAsia="Calibri" w:hAnsi="Calibri"/>
          <w:b/>
          <w:bCs/>
          <w:color w:val="000000"/>
          <w:sz w:val="22"/>
          <w:szCs w:val="22"/>
        </w:rPr>
        <w:t xml:space="preserve">Gross margin up ~550 bps since 2020: </w:t>
      </w:r>
      <w:r>
        <w:rPr>
          <w:rFonts w:ascii="Calibri" w:cs="Calibri" w:eastAsia="Calibri" w:hAnsi="Calibri"/>
          <w:color w:val="000000"/>
          <w:sz w:val="22"/>
          <w:szCs w:val="22"/>
        </w:rPr>
        <w:t xml:space="preserve">From 14.6% to 20.1% — driven by mix shift toward E-Infrastructure. This trend is structural and credible.</w:t>
      </w:r>
    </w:p>
    <w:p>
      <w:pPr>
        <w:pStyle w:val="ListParagraph"/>
        <w:numPr>
          <w:ilvl w:val="0"/>
          <w:numId w:val="2"/>
        </w:numPr>
        <w:spacing w:after="60" w:before="0" w:line="300"/>
      </w:pPr>
      <w:r>
        <w:rPr>
          <w:rFonts w:ascii="Calibri" w:cs="Calibri" w:eastAsia="Calibri" w:hAnsi="Calibri"/>
          <w:b/>
          <w:bCs/>
          <w:color w:val="000000"/>
          <w:sz w:val="22"/>
          <w:szCs w:val="22"/>
        </w:rPr>
        <w:t xml:space="preserve">Operating margin expansion is real: </w:t>
      </w:r>
      <w:r>
        <w:rPr>
          <w:rFonts w:ascii="Calibri" w:cs="Calibri" w:eastAsia="Calibri" w:hAnsi="Calibri"/>
          <w:color w:val="000000"/>
          <w:sz w:val="22"/>
          <w:szCs w:val="22"/>
        </w:rPr>
        <w:t xml:space="preserve">Operating income nearly tripled since 2020 on ~72% revenue growth — genuine operating leverage.</w:t>
      </w:r>
    </w:p>
    <w:p>
      <w:pPr>
        <w:pStyle w:val="ListParagraph"/>
        <w:numPr>
          <w:ilvl w:val="0"/>
          <w:numId w:val="2"/>
        </w:numPr>
        <w:spacing w:after="60" w:before="0" w:line="300"/>
      </w:pPr>
      <w:r>
        <w:rPr>
          <w:rFonts w:ascii="Calibri" w:cs="Calibri" w:eastAsia="Calibri" w:hAnsi="Calibri"/>
          <w:b/>
          <w:bCs/>
          <w:color w:val="000000"/>
          <w:sz w:val="22"/>
          <w:szCs w:val="22"/>
        </w:rPr>
        <w:t xml:space="preserve">ROE of 31.2% is misleading: </w:t>
      </w:r>
      <w:r>
        <w:rPr>
          <w:rFonts w:ascii="Calibri" w:cs="Calibri" w:eastAsia="Calibri" w:hAnsi="Calibri"/>
          <w:color w:val="000000"/>
          <w:sz w:val="22"/>
          <w:szCs w:val="22"/>
        </w:rPr>
        <w:t xml:space="preserve">Adjusted for the one-time gain, ROE is closer to 20–21% — still strong, but not the "31%" headline. The market may be anchoring on the reported number when pricing STRL.</w:t>
      </w:r>
    </w:p>
    <w:p>
      <w:pPr>
        <w:spacing w:after="100" w:before="180"/>
      </w:pPr>
      <w:r>
        <w:rPr>
          <w:rFonts w:ascii="Calibri" w:cs="Calibri" w:eastAsia="Calibri" w:hAnsi="Calibri"/>
          <w:b/>
          <w:bCs/>
          <w:color w:val="000000"/>
          <w:sz w:val="23"/>
          <w:szCs w:val="23"/>
        </w:rPr>
        <w:t xml:space="preserve">3.5  Market Value Ratios — The Core Concern</w:t>
      </w:r>
    </w:p>
    <w:p>
      <w:pPr>
        <w:spacing w:after="80" w:before="0" w:line="300"/>
        <w:jc w:val="left"/>
      </w:pPr>
      <w:r>
        <w:rPr>
          <w:rFonts w:ascii="Calibri" w:cs="Calibri" w:eastAsia="Calibri" w:hAnsi="Calibri"/>
          <w:b w:val="false"/>
          <w:bCs w:val="false"/>
          <w:i w:val="false"/>
          <w:iCs w:val="false"/>
          <w:color w:val="000000"/>
          <w:sz w:val="22"/>
          <w:szCs w:val="22"/>
        </w:rPr>
        <w:t xml:space="preserve">This table illustrates the central problem with the investment case at today's price: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700"/>
      </w:tblGrid>
      <w:tr>
        <w:trPr>
          <w:tblHeader/>
        </w:trPr>
        <w:tc>
          <w:tcPr>
            <w:tcW w:type="dxa" w:w="28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Metric</w:t>
            </w:r>
          </w:p>
        </w:tc>
        <w:tc>
          <w:tcPr>
            <w:tcW w:type="dxa" w:w="11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1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1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1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1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c>
          <w:tcPr>
            <w:tcW w:type="dxa" w:w="17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Nov-2025</w:t>
            </w:r>
          </w:p>
        </w:tc>
      </w:tr>
      <w:tr>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Share Price ($)</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18.61</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26.30</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32.80</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87.93</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177.51</w:t>
            </w:r>
          </w:p>
        </w:tc>
        <w:tc>
          <w:tcPr>
            <w:tcW w:type="dxa" w:w="17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377.84</w:t>
            </w:r>
          </w:p>
        </w:tc>
      </w:tr>
      <w:tr>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EPS – Basic ($)</w:t>
            </w:r>
          </w:p>
        </w:tc>
        <w:tc>
          <w:tcPr>
            <w:tcW w:type="dxa" w:w="11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1.55</w:t>
            </w:r>
          </w:p>
        </w:tc>
        <w:tc>
          <w:tcPr>
            <w:tcW w:type="dxa" w:w="11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2.15</w:t>
            </w:r>
          </w:p>
        </w:tc>
        <w:tc>
          <w:tcPr>
            <w:tcW w:type="dxa" w:w="11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3.20</w:t>
            </w:r>
          </w:p>
        </w:tc>
        <w:tc>
          <w:tcPr>
            <w:tcW w:type="dxa" w:w="11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4.51</w:t>
            </w:r>
          </w:p>
        </w:tc>
        <w:tc>
          <w:tcPr>
            <w:tcW w:type="dxa" w:w="11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8.35</w:t>
            </w:r>
          </w:p>
        </w:tc>
        <w:tc>
          <w:tcPr>
            <w:tcW w:type="dxa" w:w="17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8.35</w:t>
            </w:r>
          </w:p>
        </w:tc>
      </w:tr>
      <w:tr>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P/E Ratio (×)</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12.0</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12.2</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10.3</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19.5</w:t>
            </w:r>
          </w:p>
        </w:tc>
        <w:tc>
          <w:tcPr>
            <w:tcW w:type="dxa" w:w="11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21.3</w:t>
            </w:r>
          </w:p>
        </w:tc>
        <w:tc>
          <w:tcPr>
            <w:tcW w:type="dxa" w:w="17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~45.3</w:t>
            </w:r>
          </w:p>
        </w:tc>
      </w:tr>
    </w:tbl>
    <w:p>
      <w:pPr>
        <w:spacing w:after="80" w:before="120" w:line="300"/>
        <w:jc w:val="left"/>
      </w:pPr>
      <w:r>
        <w:rPr>
          <w:rFonts w:ascii="Calibri" w:cs="Calibri" w:eastAsia="Calibri" w:hAnsi="Calibri"/>
          <w:b/>
          <w:bCs/>
          <w:i w:val="false"/>
          <w:iCs w:val="false"/>
          <w:color w:val="000000"/>
          <w:sz w:val="22"/>
          <w:szCs w:val="22"/>
        </w:rPr>
        <w:t xml:space="preserve">Observation: </w:t>
      </w:r>
    </w:p>
    <w:p>
      <w:pPr>
        <w:spacing w:after="80" w:before="0" w:line="300"/>
        <w:jc w:val="left"/>
      </w:pPr>
      <w:r>
        <w:rPr>
          <w:rFonts w:ascii="Calibri" w:cs="Calibri" w:eastAsia="Calibri" w:hAnsi="Calibri"/>
          <w:b w:val="false"/>
          <w:bCs w:val="false"/>
          <w:i w:val="false"/>
          <w:iCs w:val="false"/>
          <w:color w:val="000000"/>
          <w:sz w:val="22"/>
          <w:szCs w:val="22"/>
        </w:rPr>
        <w:t xml:space="preserve">STRL's historical P/E range (2020–2024) is 10.3× to 21.3×. At the current $377.84 price, the trailing P/E is ~45× — more than double the 2024 exit multiple and over 4× the 2022 trough. Even granting a fair re-rating for the improved business mix, the current multiple implies the market has already priced in multiple years of flawless execution. The stock is not cheap; it is priced for perfection.</w:t>
      </w:r>
    </w:p>
    <w:p>
      <w:pPr>
        <w:pStyle w:val="Heading1"/>
        <w:pBdr>
          <w:bottom w:val="single" w:color="000000" w:sz="12" w:space="4"/>
        </w:pBdr>
        <w:spacing w:after="180" w:before="360"/>
      </w:pPr>
      <w:r>
        <w:rPr>
          <w:rFonts w:ascii="Calibri" w:cs="Calibri" w:eastAsia="Calibri" w:hAnsi="Calibri"/>
          <w:b/>
          <w:bCs/>
          <w:color w:val="000000"/>
          <w:sz w:val="32"/>
          <w:szCs w:val="32"/>
        </w:rPr>
        <w:t xml:space="preserve">4. Altman Z-Score Analysis</w:t>
      </w:r>
    </w:p>
    <w:p>
      <w:pPr>
        <w:spacing w:after="80" w:before="0" w:line="300"/>
        <w:jc w:val="left"/>
      </w:pPr>
      <w:r>
        <w:rPr>
          <w:rFonts w:ascii="Calibri" w:cs="Calibri" w:eastAsia="Calibri" w:hAnsi="Calibri"/>
          <w:b w:val="false"/>
          <w:bCs w:val="false"/>
          <w:i w:val="false"/>
          <w:iCs w:val="false"/>
          <w:color w:val="000000"/>
          <w:sz w:val="22"/>
          <w:szCs w:val="22"/>
        </w:rPr>
        <w:t xml:space="preserve">The Altman Z-Score composite bankruptcy-risk measure:</w:t>
      </w:r>
    </w:p>
    <w:p>
      <w:pPr>
        <w:spacing w:after="120" w:before="80"/>
        <w:jc w:val="center"/>
      </w:pPr>
      <w:r>
        <w:rPr>
          <w:rFonts w:ascii="Calibri" w:cs="Calibri" w:eastAsia="Calibri" w:hAnsi="Calibri"/>
          <w:b/>
          <w:bCs/>
          <w:i/>
          <w:iCs/>
          <w:color w:val="000000"/>
          <w:sz w:val="22"/>
          <w:szCs w:val="22"/>
        </w:rPr>
        <w:t xml:space="preserve">Z = 1.2·X₁ + 1.4·X₂ + 3.3·X₃ + 0.6·X₄ + 1.0·X₅</w:t>
      </w:r>
    </w:p>
    <w:p>
      <w:pPr>
        <w:spacing w:after="80" w:before="0" w:line="300"/>
        <w:jc w:val="left"/>
      </w:pPr>
      <w:r>
        <w:rPr>
          <w:rFonts w:ascii="Calibri" w:cs="Calibri" w:eastAsia="Calibri" w:hAnsi="Calibri"/>
          <w:b w:val="false"/>
          <w:bCs w:val="false"/>
          <w:i w:val="false"/>
          <w:iCs w:val="false"/>
          <w:color w:val="000000"/>
          <w:sz w:val="22"/>
          <w:szCs w:val="22"/>
        </w:rPr>
        <w:t xml:space="preserve">Interpretation: Z &gt; 2.99 = Safe Zone; 1.81–2.99 = Grey Zone; Z &lt; 1.81 = Distress Zone.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80"/>
        <w:gridCol w:w="1480"/>
        <w:gridCol w:w="1480"/>
        <w:gridCol w:w="1480"/>
        <w:gridCol w:w="1480"/>
      </w:tblGrid>
      <w:tr>
        <w:trPr>
          <w:tblHeader/>
        </w:trPr>
        <w:tc>
          <w:tcPr>
            <w:tcW w:type="dxa" w:w="20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Component</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48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2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X1 (WC/TA)</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0.04</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0.07</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0.10</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0.30</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0.14</w:t>
            </w:r>
          </w:p>
        </w:tc>
      </w:tr>
      <w:tr>
        <w:tc>
          <w:tcPr>
            <w:tcW w:type="dxa" w:w="2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X2 (RE/TA)</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0.28</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0.29</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0.33</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0.35</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0.41</w:t>
            </w:r>
          </w:p>
        </w:tc>
      </w:tr>
      <w:tr>
        <w:tc>
          <w:tcPr>
            <w:tcW w:type="dxa" w:w="2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X3 (EBIT/TA)</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0.10</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0.09</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0.11</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0.12</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0.13</w:t>
            </w:r>
          </w:p>
        </w:tc>
      </w:tr>
      <w:tr>
        <w:tc>
          <w:tcPr>
            <w:tcW w:type="dxa" w:w="2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X4 (MVE/TL)</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0.77</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0.88</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1.04</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2.38</w:t>
            </w:r>
          </w:p>
        </w:tc>
        <w:tc>
          <w:tcPr>
            <w:tcW w:type="dxa" w:w="148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4.64</w:t>
            </w:r>
          </w:p>
        </w:tc>
      </w:tr>
      <w:tr>
        <w:tc>
          <w:tcPr>
            <w:tcW w:type="dxa" w:w="20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X5 (Sales/TA)</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1.29</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1.15</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1.23</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1.11</w:t>
            </w:r>
          </w:p>
        </w:tc>
        <w:tc>
          <w:tcPr>
            <w:tcW w:type="dxa" w:w="148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1.05</w:t>
            </w:r>
          </w:p>
        </w:tc>
      </w:tr>
      <w:tr>
        <w:tc>
          <w:tcPr>
            <w:tcW w:type="dxa" w:w="20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Z-Score</w:t>
            </w:r>
          </w:p>
        </w:tc>
        <w:tc>
          <w:tcPr>
            <w:tcW w:type="dxa" w:w="148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2.51</w:t>
            </w:r>
          </w:p>
        </w:tc>
        <w:tc>
          <w:tcPr>
            <w:tcW w:type="dxa" w:w="148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2.45</w:t>
            </w:r>
          </w:p>
        </w:tc>
        <w:tc>
          <w:tcPr>
            <w:tcW w:type="dxa" w:w="148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2.81</w:t>
            </w:r>
          </w:p>
        </w:tc>
        <w:tc>
          <w:tcPr>
            <w:tcW w:type="dxa" w:w="148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3.77</w:t>
            </w:r>
          </w:p>
        </w:tc>
        <w:tc>
          <w:tcPr>
            <w:tcW w:type="dxa" w:w="148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5.01</w:t>
            </w:r>
          </w:p>
        </w:tc>
      </w:tr>
    </w:tbl>
    <w:p>
      <w:pPr>
        <w:spacing w:after="80" w:before="120" w:line="300"/>
        <w:jc w:val="left"/>
      </w:pPr>
      <w:r>
        <w:rPr>
          <w:rFonts w:ascii="Calibri" w:cs="Calibri" w:eastAsia="Calibri" w:hAnsi="Calibri"/>
          <w:b w:val="false"/>
          <w:bCs w:val="false"/>
          <w:i w:val="false"/>
          <w:iCs w:val="false"/>
          <w:color w:val="000000"/>
          <w:sz w:val="22"/>
          <w:szCs w:val="22"/>
        </w:rPr>
        <w:t xml:space="preserve">STRL's Z-Score nearly doubled from 2.51 to 5.01, reflecting a transition from Grey Zone to deep Safe Zone. The move is driven primarily by X₄ (Market Value of Equity / Total Liabilities), which jumped from 0.77 to 4.64 — notably, this component is highly sensitive to share price. If STRL's share price corrects meaningfully, the Z-Score itself will weaken, though it would remain well above distress thresholds. Bankruptcy risk is effectively de minimis — this is not a credit concern.</w:t>
      </w:r>
    </w:p>
    <w:p>
      <w:pPr>
        <w:pStyle w:val="Heading1"/>
        <w:pBdr>
          <w:bottom w:val="single" w:color="000000" w:sz="12" w:space="4"/>
        </w:pBdr>
        <w:spacing w:after="180" w:before="360"/>
      </w:pPr>
      <w:r>
        <w:rPr>
          <w:rFonts w:ascii="Calibri" w:cs="Calibri" w:eastAsia="Calibri" w:hAnsi="Calibri"/>
          <w:b/>
          <w:bCs/>
          <w:color w:val="000000"/>
          <w:sz w:val="32"/>
          <w:szCs w:val="32"/>
        </w:rPr>
        <w:t xml:space="preserve">5. DuPont ROE Decomposition</w:t>
      </w:r>
    </w:p>
    <w:p>
      <w:pPr>
        <w:spacing w:after="80" w:before="0" w:line="300"/>
        <w:jc w:val="left"/>
      </w:pPr>
      <w:r>
        <w:rPr>
          <w:rFonts w:ascii="Calibri" w:cs="Calibri" w:eastAsia="Calibri" w:hAnsi="Calibri"/>
          <w:b w:val="false"/>
          <w:bCs w:val="false"/>
          <w:i w:val="false"/>
          <w:iCs w:val="false"/>
          <w:color w:val="000000"/>
          <w:sz w:val="22"/>
          <w:szCs w:val="22"/>
        </w:rPr>
        <w:t xml:space="preserve">The 3-step DuPont model decomposes ROE into its three structural drivers.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240"/>
        <w:gridCol w:w="1240"/>
        <w:gridCol w:w="1240"/>
        <w:gridCol w:w="1240"/>
        <w:gridCol w:w="1240"/>
      </w:tblGrid>
      <w:tr>
        <w:trPr>
          <w:tblHeader/>
        </w:trPr>
        <w:tc>
          <w:tcPr>
            <w:tcW w:type="dxa" w:w="32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DuPont Component</w:t>
            </w:r>
          </w:p>
        </w:tc>
        <w:tc>
          <w:tcPr>
            <w:tcW w:type="dxa" w:w="124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2020</w:t>
            </w:r>
          </w:p>
        </w:tc>
        <w:tc>
          <w:tcPr>
            <w:tcW w:type="dxa" w:w="124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2021</w:t>
            </w:r>
          </w:p>
        </w:tc>
        <w:tc>
          <w:tcPr>
            <w:tcW w:type="dxa" w:w="124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2022</w:t>
            </w:r>
          </w:p>
        </w:tc>
        <w:tc>
          <w:tcPr>
            <w:tcW w:type="dxa" w:w="124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2023</w:t>
            </w:r>
          </w:p>
        </w:tc>
        <w:tc>
          <w:tcPr>
            <w:tcW w:type="dxa" w:w="124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2024</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Net Profit Margin (NPM)</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3.5%</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4.3%</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5.5%</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7.0%</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12.2%</w:t>
            </w:r>
          </w:p>
        </w:tc>
      </w:tr>
      <w:tr>
        <w:tc>
          <w:tcPr>
            <w:tcW w:type="dxa" w:w="32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Asset Turnover (AT)</w:t>
            </w:r>
          </w:p>
        </w:tc>
        <w:tc>
          <w:tcPr>
            <w:tcW w:type="dxa" w:w="124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1.29×</w:t>
            </w:r>
          </w:p>
        </w:tc>
        <w:tc>
          <w:tcPr>
            <w:tcW w:type="dxa" w:w="124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1.15×</w:t>
            </w:r>
          </w:p>
        </w:tc>
        <w:tc>
          <w:tcPr>
            <w:tcW w:type="dxa" w:w="124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1.23×</w:t>
            </w:r>
          </w:p>
        </w:tc>
        <w:tc>
          <w:tcPr>
            <w:tcW w:type="dxa" w:w="124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1.11×</w:t>
            </w:r>
          </w:p>
        </w:tc>
        <w:tc>
          <w:tcPr>
            <w:tcW w:type="dxa" w:w="124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1.05×</w:t>
            </w:r>
          </w:p>
        </w:tc>
      </w:tr>
      <w:tr>
        <w:tc>
          <w:tcPr>
            <w:tcW w:type="dxa" w:w="32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Equity Multiplier (EM)</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3.55×</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3.42×</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3.02×</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2.85×</w:t>
            </w:r>
          </w:p>
        </w:tc>
        <w:tc>
          <w:tcPr>
            <w:tcW w:type="dxa" w:w="124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2.44×</w:t>
            </w:r>
          </w:p>
        </w:tc>
      </w:tr>
      <w:tr>
        <w:tc>
          <w:tcPr>
            <w:tcW w:type="dxa" w:w="32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ROE = NPM × AT × EM</w:t>
            </w:r>
          </w:p>
        </w:tc>
        <w:tc>
          <w:tcPr>
            <w:tcW w:type="dxa" w:w="124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16.0%</w:t>
            </w:r>
          </w:p>
        </w:tc>
        <w:tc>
          <w:tcPr>
            <w:tcW w:type="dxa" w:w="124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17.1%</w:t>
            </w:r>
          </w:p>
        </w:tc>
        <w:tc>
          <w:tcPr>
            <w:tcW w:type="dxa" w:w="124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20.2%</w:t>
            </w:r>
          </w:p>
        </w:tc>
        <w:tc>
          <w:tcPr>
            <w:tcW w:type="dxa" w:w="124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22.2%</w:t>
            </w:r>
          </w:p>
        </w:tc>
        <w:tc>
          <w:tcPr>
            <w:tcW w:type="dxa" w:w="124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31.2%</w:t>
            </w:r>
          </w:p>
        </w:tc>
      </w:tr>
    </w:tbl>
    <w:p>
      <w:pPr>
        <w:spacing w:after="80" w:before="120" w:line="300"/>
        <w:jc w:val="left"/>
      </w:pPr>
      <w:r>
        <w:rPr>
          <w:rFonts w:ascii="Calibri" w:cs="Calibri" w:eastAsia="Calibri" w:hAnsi="Calibri"/>
          <w:b/>
          <w:bCs/>
          <w:i w:val="false"/>
          <w:iCs w:val="false"/>
          <w:color w:val="000000"/>
          <w:sz w:val="22"/>
          <w:szCs w:val="22"/>
        </w:rPr>
        <w:t xml:space="preserve">Insights: </w:t>
      </w:r>
    </w:p>
    <w:p>
      <w:pPr>
        <w:pStyle w:val="ListParagraph"/>
        <w:numPr>
          <w:ilvl w:val="0"/>
          <w:numId w:val="2"/>
        </w:numPr>
        <w:spacing w:after="60" w:before="0" w:line="300"/>
      </w:pPr>
      <w:r>
        <w:rPr>
          <w:rFonts w:ascii="Calibri" w:cs="Calibri" w:eastAsia="Calibri" w:hAnsi="Calibri"/>
          <w:b/>
          <w:bCs/>
          <w:color w:val="000000"/>
          <w:sz w:val="22"/>
          <w:szCs w:val="22"/>
        </w:rPr>
        <w:t xml:space="preserve">Positive: ROE quality is higher than it looks. </w:t>
      </w:r>
      <w:r>
        <w:rPr>
          <w:rFonts w:ascii="Calibri" w:cs="Calibri" w:eastAsia="Calibri" w:hAnsi="Calibri"/>
          <w:color w:val="000000"/>
          <w:sz w:val="22"/>
          <w:szCs w:val="22"/>
        </w:rPr>
        <w:t xml:space="preserve">The 16.0% → 31.2% ROE expansion occurred despite Equity Multiplier declining from 3.55× to 2.44× — meaning the gain came from genuine profitability improvement, not leverage.</w:t>
      </w:r>
    </w:p>
    <w:p>
      <w:pPr>
        <w:pStyle w:val="ListParagraph"/>
        <w:numPr>
          <w:ilvl w:val="0"/>
          <w:numId w:val="2"/>
        </w:numPr>
        <w:spacing w:after="60" w:before="0" w:line="300"/>
      </w:pPr>
      <w:r>
        <w:rPr>
          <w:rFonts w:ascii="Calibri" w:cs="Calibri" w:eastAsia="Calibri" w:hAnsi="Calibri"/>
          <w:b/>
          <w:bCs/>
          <w:color w:val="000000"/>
          <w:sz w:val="22"/>
          <w:szCs w:val="22"/>
        </w:rPr>
        <w:t xml:space="preserve">Caution: The 2024 NPM of 12.2% is one-time-gain-inflated. </w:t>
      </w:r>
      <w:r>
        <w:rPr>
          <w:rFonts w:ascii="Calibri" w:cs="Calibri" w:eastAsia="Calibri" w:hAnsi="Calibri"/>
          <w:color w:val="000000"/>
          <w:sz w:val="22"/>
          <w:szCs w:val="22"/>
        </w:rPr>
        <w:t xml:space="preserve">Adjusted NPM is ~7.9%, and adjusted ROE closer to 20–21% — still a strong trajectory, but meaningfully below the headline.</w:t>
      </w:r>
    </w:p>
    <w:p>
      <w:pPr>
        <w:pStyle w:val="ListParagraph"/>
        <w:numPr>
          <w:ilvl w:val="0"/>
          <w:numId w:val="2"/>
        </w:numPr>
        <w:spacing w:after="60" w:before="0" w:line="300"/>
      </w:pPr>
      <w:r>
        <w:rPr>
          <w:rFonts w:ascii="Calibri" w:cs="Calibri" w:eastAsia="Calibri" w:hAnsi="Calibri"/>
          <w:b/>
          <w:bCs/>
          <w:color w:val="000000"/>
          <w:sz w:val="22"/>
          <w:szCs w:val="22"/>
        </w:rPr>
        <w:t xml:space="preserve">Watch item: Asset Turnover has declined </w:t>
      </w:r>
      <w:r>
        <w:rPr>
          <w:rFonts w:ascii="Calibri" w:cs="Calibri" w:eastAsia="Calibri" w:hAnsi="Calibri"/>
          <w:color w:val="000000"/>
          <w:sz w:val="22"/>
          <w:szCs w:val="22"/>
        </w:rPr>
        <w:t xml:space="preserve">from 1.29× to 1.05× — if margins normalize while AT remains low, ROE will compress faster than the optically strong trend suggests.</w:t>
      </w:r>
    </w:p>
    <w:p>
      <w:pPr>
        <w:pStyle w:val="Heading1"/>
        <w:pBdr>
          <w:bottom w:val="single" w:color="000000" w:sz="12" w:space="4"/>
        </w:pBdr>
        <w:spacing w:after="180" w:before="360"/>
      </w:pPr>
      <w:r>
        <w:rPr>
          <w:rFonts w:ascii="Calibri" w:cs="Calibri" w:eastAsia="Calibri" w:hAnsi="Calibri"/>
          <w:b/>
          <w:bCs/>
          <w:color w:val="000000"/>
          <w:sz w:val="32"/>
          <w:szCs w:val="32"/>
        </w:rPr>
        <w:t xml:space="preserve">6. Valuation Summary</w:t>
      </w:r>
    </w:p>
    <w:p>
      <w:pPr>
        <w:spacing w:after="80" w:before="0" w:line="300"/>
        <w:jc w:val="left"/>
      </w:pPr>
      <w:r>
        <w:rPr>
          <w:rFonts w:ascii="Calibri" w:cs="Calibri" w:eastAsia="Calibri" w:hAnsi="Calibri"/>
          <w:b w:val="false"/>
          <w:bCs w:val="false"/>
          <w:i w:val="false"/>
          <w:iCs w:val="false"/>
          <w:color w:val="000000"/>
          <w:sz w:val="22"/>
          <w:szCs w:val="22"/>
        </w:rPr>
        <w:t xml:space="preserve">The valuation framework triangulates among (i) STRL's historical P/E range, (ii) a peer-benchmarked fair multiple, and (iii) a forward earnings estimate that strips out the FY2024 one-time gain. The DCF check (not shown in table) uses a WACC range of 8.5%–10.5% and terminal growth of 2.5%, producing fair values in the $320–$365 range — consistent with the multiple-based conclusion.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w:trPr>
          <w:tblHeader/>
        </w:trPr>
        <w:tc>
          <w:tcPr>
            <w:tcW w:type="dxa" w:w="38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Valuation Input</w:t>
            </w:r>
          </w:p>
        </w:tc>
        <w:tc>
          <w:tcPr>
            <w:tcW w:type="dxa" w:w="28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Value</w:t>
            </w:r>
          </w:p>
        </w:tc>
        <w:tc>
          <w:tcPr>
            <w:tcW w:type="dxa" w:w="28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Basis</w:t>
            </w:r>
          </w:p>
        </w:tc>
      </w:tr>
      <w:tr>
        <w:tc>
          <w:tcPr>
            <w:tcW w:type="dxa" w:w="3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Current Share Price</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$377.84</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Nov 2025</w:t>
            </w:r>
          </w:p>
        </w:tc>
      </w:tr>
      <w:tr>
        <w:tc>
          <w:tcPr>
            <w:tcW w:type="dxa" w:w="3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FY2024 Reported Diluted EPS</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$8.27</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10-K (GAAP)</w:t>
            </w:r>
          </w:p>
        </w:tc>
      </w:tr>
      <w:tr>
        <w:tc>
          <w:tcPr>
            <w:tcW w:type="dxa" w:w="3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FY2024 Adjusted Diluted EPS</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~$5.36</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Ex. $91M one-time gain</w:t>
            </w:r>
          </w:p>
        </w:tc>
      </w:tr>
      <w:tr>
        <w:tc>
          <w:tcPr>
            <w:tcW w:type="dxa" w:w="3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Current Trailing P/E</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~45.3×</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At $377.84 / GAAP EPS</w:t>
            </w:r>
          </w:p>
        </w:tc>
      </w:tr>
      <w:tr>
        <w:tc>
          <w:tcPr>
            <w:tcW w:type="dxa" w:w="3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Historical P/E Range (2020–24)</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10.3× – 21.3×</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5-yr range</w:t>
            </w:r>
          </w:p>
        </w:tc>
      </w:tr>
      <w:tr>
        <w:tc>
          <w:tcPr>
            <w:tcW w:type="dxa" w:w="3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Applied Fair P/E Multiple</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25.0×</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Premium for mix shift + growth</w:t>
            </w:r>
          </w:p>
        </w:tc>
      </w:tr>
      <w:tr>
        <w:tc>
          <w:tcPr>
            <w:tcW w:type="dxa" w:w="3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Forward EPS Estimate (FY2025E)</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$13.60</w:t>
            </w:r>
          </w:p>
        </w:tc>
        <w:tc>
          <w:tcPr>
            <w:tcW w:type="dxa" w:w="2800"/>
            <w:tcBorders>
              <w:top w:val="single" w:color="808080" w:sz="4"/>
              <w:left w:val="single" w:color="808080" w:sz="4"/>
              <w:bottom w:val="single" w:color="808080" w:sz="4"/>
              <w:right w:val="single" w:color="808080"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Adj. base + 20% growth</w:t>
            </w:r>
          </w:p>
        </w:tc>
      </w:tr>
      <w:tr>
        <w:tc>
          <w:tcPr>
            <w:tcW w:type="dxa" w:w="3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Fair Value Estimate</w:t>
            </w:r>
          </w:p>
        </w:tc>
        <w:tc>
          <w:tcPr>
            <w:tcW w:type="dxa" w:w="2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$340.00</w:t>
            </w:r>
          </w:p>
        </w:tc>
        <w:tc>
          <w:tcPr>
            <w:tcW w:type="dxa" w:w="2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25× × Forward EPS</w:t>
            </w:r>
          </w:p>
        </w:tc>
      </w:tr>
      <w:tr>
        <w:tc>
          <w:tcPr>
            <w:tcW w:type="dxa" w:w="3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Implied Downside</w:t>
            </w:r>
          </w:p>
        </w:tc>
        <w:tc>
          <w:tcPr>
            <w:tcW w:type="dxa" w:w="2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−10.0%</w:t>
            </w:r>
          </w:p>
        </w:tc>
        <w:tc>
          <w:tcPr>
            <w:tcW w:type="dxa" w:w="2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vs. current $377.84</w:t>
            </w:r>
          </w:p>
        </w:tc>
      </w:tr>
    </w:tbl>
    <w:p>
      <w:pPr>
        <w:pStyle w:val="Heading2"/>
        <w:spacing w:after="120" w:before="240"/>
      </w:pPr>
      <w:r>
        <w:rPr>
          <w:rFonts w:ascii="Calibri" w:cs="Calibri" w:eastAsia="Calibri" w:hAnsi="Calibri"/>
          <w:b/>
          <w:bCs/>
          <w:color w:val="000000"/>
          <w:sz w:val="26"/>
          <w:szCs w:val="26"/>
        </w:rPr>
        <w:t xml:space="preserve">Scenario Sensitivity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2000"/>
      </w:tblGrid>
      <w:tr>
        <w:trPr>
          <w:tblHeader/>
        </w:trPr>
        <w:tc>
          <w:tcPr>
            <w:tcW w:type="dxa" w:w="24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Scenario</w:t>
            </w:r>
          </w:p>
        </w:tc>
        <w:tc>
          <w:tcPr>
            <w:tcW w:type="dxa" w:w="28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Assumption</w:t>
            </w:r>
          </w:p>
        </w:tc>
        <w:tc>
          <w:tcPr>
            <w:tcW w:type="dxa" w:w="22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Implied Price</w:t>
            </w:r>
          </w:p>
        </w:tc>
        <w:tc>
          <w:tcPr>
            <w:tcW w:type="dxa" w:w="2000"/>
            <w:tcBorders>
              <w:top w:val="single" w:color="808080" w:sz="4"/>
              <w:left w:val="single" w:color="808080" w:sz="4"/>
              <w:bottom w:val="single" w:color="808080" w:sz="4"/>
              <w:right w:val="single" w:color="808080" w:sz="4"/>
            </w:tcBorders>
            <w:shd w:fill="00000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vs. Current</w:t>
            </w:r>
          </w:p>
        </w:tc>
      </w:tr>
      <w:tr>
        <w:tc>
          <w:tcPr>
            <w:tcW w:type="dxa" w:w="24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Bull Case</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30× × $14.40 Fwd EPS</w:t>
            </w:r>
          </w:p>
        </w:tc>
        <w:tc>
          <w:tcPr>
            <w:tcW w:type="dxa" w:w="22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$432.00</w:t>
            </w:r>
          </w:p>
        </w:tc>
        <w:tc>
          <w:tcPr>
            <w:tcW w:type="dxa" w:w="2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+14%</w:t>
            </w:r>
          </w:p>
        </w:tc>
      </w:tr>
      <w:tr>
        <w:tc>
          <w:tcPr>
            <w:tcW w:type="dxa" w:w="24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Base Case</w:t>
            </w:r>
          </w:p>
        </w:tc>
        <w:tc>
          <w:tcPr>
            <w:tcW w:type="dxa" w:w="28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25× × $13.60 Fwd EPS</w:t>
            </w:r>
          </w:p>
        </w:tc>
        <w:tc>
          <w:tcPr>
            <w:tcW w:type="dxa" w:w="22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$340.00</w:t>
            </w:r>
          </w:p>
        </w:tc>
        <w:tc>
          <w:tcPr>
            <w:tcW w:type="dxa" w:w="2000"/>
            <w:tcBorders>
              <w:top w:val="single" w:color="808080" w:sz="4"/>
              <w:left w:val="single" w:color="808080" w:sz="4"/>
              <w:bottom w:val="single" w:color="808080" w:sz="4"/>
              <w:right w:val="single" w:color="808080" w:sz="4"/>
            </w:tcBorders>
            <w:shd w:fill="D9D9D9"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−10%</w:t>
            </w:r>
          </w:p>
        </w:tc>
      </w:tr>
      <w:tr>
        <w:tc>
          <w:tcPr>
            <w:tcW w:type="dxa" w:w="24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000000"/>
                <w:sz w:val="20"/>
                <w:szCs w:val="20"/>
              </w:rPr>
              <w:t xml:space="preserve">Bear Case</w:t>
            </w:r>
          </w:p>
        </w:tc>
        <w:tc>
          <w:tcPr>
            <w:tcW w:type="dxa" w:w="28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20× × $12.80 Fwd EPS</w:t>
            </w:r>
          </w:p>
        </w:tc>
        <w:tc>
          <w:tcPr>
            <w:tcW w:type="dxa" w:w="22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000000"/>
                <w:sz w:val="20"/>
                <w:szCs w:val="20"/>
              </w:rPr>
              <w:t xml:space="preserve">$256.00</w:t>
            </w:r>
          </w:p>
        </w:tc>
        <w:tc>
          <w:tcPr>
            <w:tcW w:type="dxa" w:w="2000"/>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000000"/>
                <w:sz w:val="20"/>
                <w:szCs w:val="20"/>
              </w:rPr>
              <w:t xml:space="preserve">−32%</w:t>
            </w:r>
          </w:p>
        </w:tc>
      </w:tr>
    </w:tbl>
    <w:p>
      <w:pPr>
        <w:pStyle w:val="Heading2"/>
        <w:spacing w:after="120" w:before="240"/>
      </w:pPr>
      <w:r>
        <w:rPr>
          <w:rFonts w:ascii="Calibri" w:cs="Calibri" w:eastAsia="Calibri" w:hAnsi="Calibri"/>
          <w:b/>
          <w:bCs/>
          <w:color w:val="000000"/>
          <w:sz w:val="26"/>
          <w:szCs w:val="26"/>
        </w:rPr>
        <w:t xml:space="preserve">Recommendation</w:t>
      </w:r>
    </w:p>
    <w:p>
      <w:pPr>
        <w:spacing w:after="120" w:before="120" w:line="300"/>
      </w:pPr>
      <w:r>
        <w:rPr>
          <w:rFonts w:ascii="Calibri" w:cs="Calibri" w:eastAsia="Calibri" w:hAnsi="Calibri"/>
          <w:b/>
          <w:bCs/>
          <w:color w:val="000000"/>
          <w:sz w:val="24"/>
          <w:szCs w:val="24"/>
        </w:rPr>
        <w:t xml:space="preserve">NOT BUY — Fair Value $340 (−10% downside). Asymmetric risk/reward.</w:t>
      </w:r>
    </w:p>
    <w:p>
      <w:pPr>
        <w:spacing w:after="40" w:before="0" w:line="300"/>
        <w:jc w:val="left"/>
      </w:pPr>
      <w:r>
        <w:rPr>
          <w:rFonts w:ascii="Calibri" w:cs="Calibri" w:eastAsia="Calibri" w:hAnsi="Calibri"/>
          <w:b w:val="false"/>
          <w:bCs w:val="false"/>
          <w:i w:val="false"/>
          <w:iCs w:val="false"/>
          <w:color w:val="000000"/>
          <w:sz w:val="22"/>
          <w:szCs w:val="22"/>
        </w:rPr>
        <w:t xml:space="preserve">Our base-case fair value of $340 sits roughly 10% below current levels, while the bear case (−32%) vastly exceeds the bull case (+14%). This is the definition of an unattractive setup: the probability-weighted return is negative. A re-entry level around </w:t>
      </w:r>
    </w:p>
    <w:p>
      <w:pPr>
        <w:spacing w:after="120" w:before="0" w:line="300"/>
      </w:pPr>
      <w:r>
        <w:rPr>
          <w:rFonts w:ascii="Calibri" w:cs="Calibri" w:eastAsia="Calibri" w:hAnsi="Calibri"/>
          <w:b/>
          <w:bCs/>
          <w:color w:val="000000"/>
          <w:sz w:val="22"/>
          <w:szCs w:val="22"/>
        </w:rPr>
        <w:t xml:space="preserve">$300 or below</w:t>
      </w:r>
      <w:r>
        <w:rPr>
          <w:rFonts w:ascii="Calibri" w:cs="Calibri" w:eastAsia="Calibri" w:hAnsi="Calibri"/>
          <w:sz w:val="22"/>
          <w:szCs w:val="22"/>
        </w:rPr>
        <w:t xml:space="preserve"> would offer a credible margin of safety; we would re-rate the stock to a BUY at that level.</w:t>
      </w:r>
    </w:p>
    <w:p>
      <w:pPr>
        <w:pStyle w:val="Heading1"/>
        <w:pBdr>
          <w:bottom w:val="single" w:color="000000" w:sz="12" w:space="4"/>
        </w:pBdr>
        <w:spacing w:after="180" w:before="360"/>
      </w:pPr>
      <w:r>
        <w:rPr>
          <w:rFonts w:ascii="Calibri" w:cs="Calibri" w:eastAsia="Calibri" w:hAnsi="Calibri"/>
          <w:b/>
          <w:bCs/>
          <w:color w:val="000000"/>
          <w:sz w:val="32"/>
          <w:szCs w:val="32"/>
        </w:rPr>
        <w:t xml:space="preserve">7. Key Risks</w:t>
      </w:r>
    </w:p>
    <w:p>
      <w:pPr>
        <w:spacing w:after="100" w:before="180"/>
      </w:pPr>
      <w:r>
        <w:rPr>
          <w:rFonts w:ascii="Calibri" w:cs="Calibri" w:eastAsia="Calibri" w:hAnsi="Calibri"/>
          <w:b/>
          <w:bCs/>
          <w:color w:val="000000"/>
          <w:sz w:val="23"/>
          <w:szCs w:val="23"/>
        </w:rPr>
        <w:t xml:space="preserve">Risks supporting the NOT BUY thesis (downside)</w:t>
      </w:r>
    </w:p>
    <w:p>
      <w:pPr>
        <w:pStyle w:val="ListParagraph"/>
        <w:numPr>
          <w:ilvl w:val="0"/>
          <w:numId w:val="2"/>
        </w:numPr>
        <w:spacing w:after="60" w:before="0" w:line="300"/>
      </w:pPr>
      <w:r>
        <w:rPr>
          <w:rFonts w:ascii="Calibri" w:cs="Calibri" w:eastAsia="Calibri" w:hAnsi="Calibri"/>
          <w:b/>
          <w:bCs/>
          <w:color w:val="000000"/>
          <w:sz w:val="22"/>
          <w:szCs w:val="22"/>
        </w:rPr>
        <w:t xml:space="preserve">Multiple compression: </w:t>
      </w:r>
      <w:r>
        <w:rPr>
          <w:rFonts w:ascii="Calibri" w:cs="Calibri" w:eastAsia="Calibri" w:hAnsi="Calibri"/>
          <w:color w:val="000000"/>
          <w:sz w:val="22"/>
          <w:szCs w:val="22"/>
        </w:rPr>
        <w:t xml:space="preserve">Trailing P/E of ~45× is well above historical range; even a normalization to 30× (still a premium) implies ~30% downside.</w:t>
      </w:r>
    </w:p>
    <w:p>
      <w:pPr>
        <w:pStyle w:val="ListParagraph"/>
        <w:numPr>
          <w:ilvl w:val="0"/>
          <w:numId w:val="2"/>
        </w:numPr>
        <w:spacing w:after="60" w:before="0" w:line="300"/>
      </w:pPr>
      <w:r>
        <w:rPr>
          <w:rFonts w:ascii="Calibri" w:cs="Calibri" w:eastAsia="Calibri" w:hAnsi="Calibri"/>
          <w:b/>
          <w:bCs/>
          <w:color w:val="000000"/>
          <w:sz w:val="22"/>
          <w:szCs w:val="22"/>
        </w:rPr>
        <w:t xml:space="preserve">Earnings quality deterioration: </w:t>
      </w:r>
      <w:r>
        <w:rPr>
          <w:rFonts w:ascii="Calibri" w:cs="Calibri" w:eastAsia="Calibri" w:hAnsi="Calibri"/>
          <w:color w:val="000000"/>
          <w:sz w:val="22"/>
          <w:szCs w:val="22"/>
        </w:rPr>
        <w:t xml:space="preserve">FY2025 and beyond will not benefit from the $91M one-time gain, creating a challenging YoY comparison that could disappoint momentum investors.</w:t>
      </w:r>
    </w:p>
    <w:p>
      <w:pPr>
        <w:pStyle w:val="ListParagraph"/>
        <w:numPr>
          <w:ilvl w:val="0"/>
          <w:numId w:val="2"/>
        </w:numPr>
        <w:spacing w:after="60" w:before="0" w:line="300"/>
      </w:pPr>
      <w:r>
        <w:rPr>
          <w:rFonts w:ascii="Calibri" w:cs="Calibri" w:eastAsia="Calibri" w:hAnsi="Calibri"/>
          <w:b/>
          <w:bCs/>
          <w:color w:val="000000"/>
          <w:sz w:val="22"/>
          <w:szCs w:val="22"/>
        </w:rPr>
        <w:t xml:space="preserve">Customer concentration in data centers: </w:t>
      </w:r>
      <w:r>
        <w:rPr>
          <w:rFonts w:ascii="Calibri" w:cs="Calibri" w:eastAsia="Calibri" w:hAnsi="Calibri"/>
          <w:color w:val="000000"/>
          <w:sz w:val="22"/>
          <w:szCs w:val="22"/>
        </w:rPr>
        <w:t xml:space="preserve">Hyperscaler capex cycles are lumpy; any pullback in AI-driven data center spending would hit the highest-margin segment first.</w:t>
      </w:r>
    </w:p>
    <w:p>
      <w:pPr>
        <w:pStyle w:val="ListParagraph"/>
        <w:numPr>
          <w:ilvl w:val="0"/>
          <w:numId w:val="2"/>
        </w:numPr>
        <w:spacing w:after="60" w:before="0" w:line="300"/>
      </w:pPr>
      <w:r>
        <w:rPr>
          <w:rFonts w:ascii="Calibri" w:cs="Calibri" w:eastAsia="Calibri" w:hAnsi="Calibri"/>
          <w:b/>
          <w:bCs/>
          <w:color w:val="000000"/>
          <w:sz w:val="22"/>
          <w:szCs w:val="22"/>
        </w:rPr>
        <w:t xml:space="preserve">IIJA disbursement pace: </w:t>
      </w:r>
      <w:r>
        <w:rPr>
          <w:rFonts w:ascii="Calibri" w:cs="Calibri" w:eastAsia="Calibri" w:hAnsi="Calibri"/>
          <w:color w:val="000000"/>
          <w:sz w:val="22"/>
          <w:szCs w:val="22"/>
        </w:rPr>
        <w:t xml:space="preserve">Federal infrastructure funding flows through state DOTs with significant lag; near-term Transportation pipeline could disappoint.</w:t>
      </w:r>
    </w:p>
    <w:p>
      <w:pPr>
        <w:pStyle w:val="ListParagraph"/>
        <w:numPr>
          <w:ilvl w:val="0"/>
          <w:numId w:val="2"/>
        </w:numPr>
        <w:spacing w:after="60" w:before="0" w:line="300"/>
      </w:pPr>
      <w:r>
        <w:rPr>
          <w:rFonts w:ascii="Calibri" w:cs="Calibri" w:eastAsia="Calibri" w:hAnsi="Calibri"/>
          <w:b/>
          <w:bCs/>
          <w:color w:val="000000"/>
          <w:sz w:val="22"/>
          <w:szCs w:val="22"/>
        </w:rPr>
        <w:t xml:space="preserve">Input cost inflation: </w:t>
      </w:r>
      <w:r>
        <w:rPr>
          <w:rFonts w:ascii="Calibri" w:cs="Calibri" w:eastAsia="Calibri" w:hAnsi="Calibri"/>
          <w:color w:val="000000"/>
          <w:sz w:val="22"/>
          <w:szCs w:val="22"/>
        </w:rPr>
        <w:t xml:space="preserve">Steel, concrete, and fuel price volatility on fixed-price contracts could pressure 2025 margins.</w:t>
      </w:r>
    </w:p>
    <w:p>
      <w:pPr>
        <w:spacing w:after="100" w:before="180"/>
      </w:pPr>
      <w:r>
        <w:rPr>
          <w:rFonts w:ascii="Calibri" w:cs="Calibri" w:eastAsia="Calibri" w:hAnsi="Calibri"/>
          <w:b/>
          <w:bCs/>
          <w:color w:val="000000"/>
          <w:sz w:val="23"/>
          <w:szCs w:val="23"/>
        </w:rPr>
        <w:t xml:space="preserve">Risks to our NOT BUY thesis (upside)</w:t>
      </w:r>
    </w:p>
    <w:p>
      <w:pPr>
        <w:pStyle w:val="ListParagraph"/>
        <w:numPr>
          <w:ilvl w:val="0"/>
          <w:numId w:val="2"/>
        </w:numPr>
        <w:spacing w:after="60" w:before="0" w:line="300"/>
      </w:pPr>
      <w:r>
        <w:rPr>
          <w:rFonts w:ascii="Calibri" w:cs="Calibri" w:eastAsia="Calibri" w:hAnsi="Calibri"/>
          <w:b/>
          <w:bCs/>
          <w:color w:val="000000"/>
          <w:sz w:val="22"/>
          <w:szCs w:val="22"/>
        </w:rPr>
        <w:t xml:space="preserve">Continued momentum: </w:t>
      </w:r>
      <w:r>
        <w:rPr>
          <w:rFonts w:ascii="Calibri" w:cs="Calibri" w:eastAsia="Calibri" w:hAnsi="Calibri"/>
          <w:color w:val="000000"/>
          <w:sz w:val="22"/>
          <w:szCs w:val="22"/>
        </w:rPr>
        <w:t xml:space="preserve">If AI-driven data center demand accelerates and STRL delivers further mix shift into 22%-margin E-Infrastructure work, the current multiple could prove justified.</w:t>
      </w:r>
    </w:p>
    <w:p>
      <w:pPr>
        <w:pStyle w:val="ListParagraph"/>
        <w:numPr>
          <w:ilvl w:val="0"/>
          <w:numId w:val="2"/>
        </w:numPr>
        <w:spacing w:after="60" w:before="0" w:line="300"/>
      </w:pPr>
      <w:r>
        <w:rPr>
          <w:rFonts w:ascii="Calibri" w:cs="Calibri" w:eastAsia="Calibri" w:hAnsi="Calibri"/>
          <w:b/>
          <w:bCs/>
          <w:color w:val="000000"/>
          <w:sz w:val="22"/>
          <w:szCs w:val="22"/>
        </w:rPr>
        <w:t xml:space="preserve">Accretive M&amp;A: </w:t>
      </w:r>
      <w:r>
        <w:rPr>
          <w:rFonts w:ascii="Calibri" w:cs="Calibri" w:eastAsia="Calibri" w:hAnsi="Calibri"/>
          <w:color w:val="000000"/>
          <w:sz w:val="22"/>
          <w:szCs w:val="22"/>
        </w:rPr>
        <w:t xml:space="preserve">The $664M cash position provides optionality for strategic acquisitions that could expand margins and accelerate EPS.</w:t>
      </w:r>
    </w:p>
    <w:p>
      <w:pPr>
        <w:pStyle w:val="ListParagraph"/>
        <w:numPr>
          <w:ilvl w:val="0"/>
          <w:numId w:val="2"/>
        </w:numPr>
        <w:spacing w:after="60" w:before="0" w:line="300"/>
      </w:pPr>
      <w:r>
        <w:rPr>
          <w:rFonts w:ascii="Calibri" w:cs="Calibri" w:eastAsia="Calibri" w:hAnsi="Calibri"/>
          <w:b/>
          <w:bCs/>
          <w:color w:val="000000"/>
          <w:sz w:val="22"/>
          <w:szCs w:val="22"/>
        </w:rPr>
        <w:t xml:space="preserve">Labor/capacity constraints easing: </w:t>
      </w:r>
      <w:r>
        <w:rPr>
          <w:rFonts w:ascii="Calibri" w:cs="Calibri" w:eastAsia="Calibri" w:hAnsi="Calibri"/>
          <w:color w:val="000000"/>
          <w:sz w:val="22"/>
          <w:szCs w:val="22"/>
        </w:rPr>
        <w:t xml:space="preserve">Improved skilled labor availability in Sunbelt markets could unlock faster backlog conversion.</w:t>
      </w:r>
    </w:p>
    <w:p>
      <w:pPr>
        <w:pStyle w:val="Heading1"/>
        <w:pBdr>
          <w:bottom w:val="single" w:color="000000" w:sz="12" w:space="4"/>
        </w:pBdr>
        <w:spacing w:after="180" w:before="360"/>
      </w:pPr>
      <w:r>
        <w:rPr>
          <w:rFonts w:ascii="Calibri" w:cs="Calibri" w:eastAsia="Calibri" w:hAnsi="Calibri"/>
          <w:b/>
          <w:bCs/>
          <w:color w:val="000000"/>
          <w:sz w:val="32"/>
          <w:szCs w:val="32"/>
        </w:rPr>
        <w:t xml:space="preserve">8. Conclusion</w:t>
      </w:r>
    </w:p>
    <w:p>
      <w:pPr>
        <w:spacing w:after="80" w:before="0" w:line="300"/>
        <w:jc w:val="left"/>
      </w:pPr>
      <w:r>
        <w:rPr>
          <w:rFonts w:ascii="Calibri" w:cs="Calibri" w:eastAsia="Calibri" w:hAnsi="Calibri"/>
          <w:b w:val="false"/>
          <w:bCs w:val="false"/>
          <w:i w:val="false"/>
          <w:iCs w:val="false"/>
          <w:color w:val="000000"/>
          <w:sz w:val="22"/>
          <w:szCs w:val="22"/>
        </w:rPr>
        <w:t xml:space="preserve">Sterling Infrastructure is a well-run, structurally improving business with genuine exposure to two of the strongest secular themes in U.S. capital spending: the data center buildout and IIJA-funded transportation infrastructure. The five-year ratio analysis reveals real margin expansion, disciplined deleveraging, and best-in-class working capital management.</w:t>
      </w:r>
    </w:p>
    <w:p>
      <w:pPr>
        <w:spacing w:after="80" w:before="0" w:line="300"/>
        <w:jc w:val="left"/>
      </w:pPr>
      <w:r>
        <w:rPr>
          <w:rFonts w:ascii="Calibri" w:cs="Calibri" w:eastAsia="Calibri" w:hAnsi="Calibri"/>
          <w:b w:val="false"/>
          <w:bCs w:val="false"/>
          <w:i w:val="false"/>
          <w:iCs w:val="false"/>
          <w:color w:val="000000"/>
          <w:sz w:val="22"/>
          <w:szCs w:val="22"/>
        </w:rPr>
        <w:t xml:space="preserve">However, good companies and good stocks are not the same thing. At $377.84 — representing a 113% rally in under a year and a trailing P/E of ~45× on earnings that were meaningfully inflated by a non-recurring gain — the stock is priced for perfection. Our base-case fair value of $340 implies 10% downside, and the bear case implies 32% downside while the bull case caps at 14% upside. That is a fundamentally unattractive risk/reward profile.</w:t>
      </w:r>
    </w:p>
    <w:p>
      <w:pPr>
        <w:spacing w:after="80" w:before="120" w:line="300"/>
        <w:jc w:val="left"/>
      </w:pPr>
      <w:r>
        <w:rPr>
          <w:rFonts w:ascii="Calibri" w:cs="Calibri" w:eastAsia="Calibri" w:hAnsi="Calibri"/>
          <w:b w:val="false"/>
          <w:bCs w:val="false"/>
          <w:i w:val="false"/>
          <w:iCs w:val="false"/>
          <w:color w:val="000000"/>
          <w:sz w:val="22"/>
          <w:szCs w:val="22"/>
        </w:rPr>
        <w:t xml:space="preserve">We issue a NOT BUY recommendation and would re-engage at ~$300 or below, where the valuation would offer a defensible margin of safety against the execution, concentration, and macro risks identified.</w:t>
      </w:r>
    </w:p>
    <w:p>
      <w:pPr>
        <w:spacing w:after="120" w:before="180" w:line="300"/>
        <w:jc w:val="center"/>
      </w:pPr>
      <w:r>
        <w:rPr>
          <w:rFonts w:ascii="Calibri" w:cs="Calibri" w:eastAsia="Calibri" w:hAnsi="Calibri"/>
          <w:b/>
          <w:bCs/>
          <w:color w:val="000000"/>
          <w:sz w:val="22"/>
          <w:szCs w:val="22"/>
        </w:rPr>
        <w:t xml:space="preserve">Recommendation: NOT BUY  |  Fair Value: $340  |  Implied Downside: −10%  |  Re-entry: $300</w:t>
      </w:r>
    </w:p>
    <w:p>
      <w:pPr>
        <w:spacing w:before="360"/>
      </w:pPr>
      <w:r>
        <w:t xml:space="preserve"/>
      </w:r>
    </w:p>
    <w:p>
      <w:pPr>
        <w:pBdr>
          <w:top w:val="single" w:color="000000" w:sz="8" w:space="4"/>
        </w:pBdr>
        <w:spacing w:after="60" w:before="240"/>
      </w:pPr>
      <w:r>
        <w:rPr>
          <w:rFonts w:ascii="Calibri" w:cs="Calibri" w:eastAsia="Calibri" w:hAnsi="Calibri"/>
          <w:b/>
          <w:bCs/>
          <w:color w:val="000000"/>
          <w:sz w:val="20"/>
          <w:szCs w:val="20"/>
        </w:rPr>
        <w:t xml:space="preserve">Disclaimer</w:t>
      </w:r>
    </w:p>
    <w:p>
      <w:pPr>
        <w:spacing w:after="0" w:before="0" w:line="280"/>
      </w:pPr>
      <w:r>
        <w:rPr>
          <w:rFonts w:ascii="Calibri" w:cs="Calibri" w:eastAsia="Calibri" w:hAnsi="Calibri"/>
          <w:i/>
          <w:iCs/>
          <w:color w:val="404040"/>
          <w:sz w:val="18"/>
          <w:szCs w:val="18"/>
        </w:rPr>
        <w:t xml:space="preserve">This report was prepared for educational purposes as part of coursework and Stuart Investment Club activities at the Illinois Institute of Technology Stuart School of Business. It does not constitute investment advice or a solicitation to buy or sell any security. All data is sourced from company SEC filings, Bloomberg Terminal, and Yahoo Finance. Readers should conduct their own due diligence before making investment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Sterling Infrastructure (STRL) Equity Valuation Report</dc:title>
  <dc:creator>Ajay Kaarthik Krishnamoorthy</dc:creator>
  <cp:lastModifiedBy>Un-named</cp:lastModifiedBy>
  <cp:revision>1</cp:revision>
  <dcterms:created xsi:type="dcterms:W3CDTF">2026-04-19T01:41:47.140Z</dcterms:created>
  <dcterms:modified xsi:type="dcterms:W3CDTF">2026-04-19T01:41:47.141Z</dcterms:modified>
</cp:coreProperties>
</file>

<file path=docProps/custom.xml><?xml version="1.0" encoding="utf-8"?>
<Properties xmlns="http://schemas.openxmlformats.org/officeDocument/2006/custom-properties" xmlns:vt="http://schemas.openxmlformats.org/officeDocument/2006/docPropsVTypes"/>
</file>