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B66F3" w14:textId="77430ABC" w:rsidR="00BC1EAA" w:rsidRPr="00655673" w:rsidRDefault="004A3560">
      <w:pPr>
        <w:spacing w:after="181" w:line="259" w:lineRule="auto"/>
        <w:ind w:left="-5" w:right="0"/>
        <w:jc w:val="left"/>
        <w:rPr>
          <w:sz w:val="24"/>
        </w:rPr>
      </w:pPr>
      <w:r w:rsidRPr="00655673">
        <w:rPr>
          <w:b/>
          <w:sz w:val="24"/>
        </w:rPr>
        <w:t xml:space="preserve">Ajay </w:t>
      </w:r>
      <w:proofErr w:type="gramStart"/>
      <w:r w:rsidRPr="00655673">
        <w:rPr>
          <w:b/>
          <w:sz w:val="24"/>
        </w:rPr>
        <w:t>Kommineni(</w:t>
      </w:r>
      <w:proofErr w:type="gramEnd"/>
      <w:r w:rsidR="00000000" w:rsidRPr="00655673">
        <w:rPr>
          <w:rFonts w:eastAsia="Open Sans"/>
          <w:color w:val="262626"/>
          <w:sz w:val="24"/>
        </w:rPr>
        <w:t>GR0</w:t>
      </w:r>
      <w:r w:rsidRPr="00655673">
        <w:rPr>
          <w:rFonts w:eastAsia="Open Sans"/>
          <w:color w:val="262626"/>
          <w:sz w:val="24"/>
        </w:rPr>
        <w:t>22241</w:t>
      </w:r>
      <w:r w:rsidR="00000000" w:rsidRPr="00655673">
        <w:rPr>
          <w:b/>
          <w:sz w:val="24"/>
        </w:rPr>
        <w:t>)</w:t>
      </w:r>
    </w:p>
    <w:p w14:paraId="37393AAA" w14:textId="77777777" w:rsidR="00BC1EAA" w:rsidRPr="00655673" w:rsidRDefault="00000000">
      <w:pPr>
        <w:spacing w:after="181" w:line="259" w:lineRule="auto"/>
        <w:ind w:left="-5" w:right="0"/>
        <w:jc w:val="left"/>
        <w:rPr>
          <w:sz w:val="24"/>
        </w:rPr>
      </w:pPr>
      <w:r w:rsidRPr="00655673">
        <w:rPr>
          <w:b/>
          <w:sz w:val="24"/>
        </w:rPr>
        <w:t>Week1 Paper</w:t>
      </w:r>
    </w:p>
    <w:p w14:paraId="298C630D" w14:textId="0D8C1112" w:rsidR="00BC1EAA" w:rsidRPr="00655673" w:rsidRDefault="004A3560" w:rsidP="004A3560">
      <w:pPr>
        <w:spacing w:after="158" w:line="259" w:lineRule="auto"/>
        <w:ind w:left="0" w:right="0" w:firstLine="0"/>
        <w:jc w:val="center"/>
        <w:rPr>
          <w:b/>
          <w:sz w:val="32"/>
          <w:szCs w:val="32"/>
        </w:rPr>
      </w:pPr>
      <w:r w:rsidRPr="00655673">
        <w:rPr>
          <w:b/>
          <w:sz w:val="32"/>
          <w:szCs w:val="32"/>
        </w:rPr>
        <w:t xml:space="preserve">Key Elements </w:t>
      </w:r>
      <w:r w:rsidR="00000000" w:rsidRPr="00655673">
        <w:rPr>
          <w:b/>
          <w:sz w:val="32"/>
          <w:szCs w:val="32"/>
        </w:rPr>
        <w:t>of Effective Data Visualization</w:t>
      </w:r>
    </w:p>
    <w:p w14:paraId="09C0B4A8" w14:textId="77777777" w:rsidR="00BC1EAA" w:rsidRPr="00655673" w:rsidRDefault="00000000">
      <w:pPr>
        <w:ind w:left="-5" w:right="0"/>
        <w:rPr>
          <w:sz w:val="24"/>
        </w:rPr>
      </w:pPr>
      <w:r w:rsidRPr="00655673">
        <w:rPr>
          <w:sz w:val="24"/>
        </w:rPr>
        <w:t>Designing an effective visualization is both an art and a science, needing a careful balance of esthetics, simplicity, and reason. An effective visualization not only describes data but also describes a story, funneling the viewer through the information in a meaningful and attractive way. The below essay explores the essential elements that aid to a successful visualization.</w:t>
      </w:r>
    </w:p>
    <w:p w14:paraId="743084F7" w14:textId="16547A82" w:rsidR="00655673" w:rsidRPr="00655673" w:rsidRDefault="00655673">
      <w:pPr>
        <w:ind w:left="-5" w:right="0"/>
        <w:rPr>
          <w:sz w:val="24"/>
        </w:rPr>
      </w:pPr>
      <w:r w:rsidRPr="00655673">
        <w:rPr>
          <w:sz w:val="24"/>
        </w:rPr>
        <w:t>The foundation of a successful visualization is clarity. Information should be presented simply in a well-designed representation so that viewers may quickly comprehend the material. "The principle of data graphics is to show the data, not to show off the graphics," according to Edward Tufte (2001) (p. 13). The significance of simplicity and directness in design is emphasized by this principle. To aid in the viewer's comprehension, effective visualizations make use of suitable chart formats, unambiguous labels, and a well-balanced use of color. Visualizations can successfully convey their intended information without overburdening the audience with extraneous elements by putting clarity first.</w:t>
      </w:r>
    </w:p>
    <w:p w14:paraId="660CA4AB" w14:textId="2FC30A29" w:rsidR="005069EB" w:rsidRPr="00655673" w:rsidRDefault="005069EB">
      <w:pPr>
        <w:ind w:left="-5" w:right="0"/>
        <w:rPr>
          <w:sz w:val="24"/>
        </w:rPr>
      </w:pPr>
      <w:r w:rsidRPr="00655673">
        <w:rPr>
          <w:sz w:val="24"/>
        </w:rPr>
        <w:t>But transparency isn't enough on its own. The foundation of confidence in any visualization is accuracy. False statements may cause misunderstandings and erroneous judgments. "It is essential to make sure that the visual representation accurately reflects the data" (p. 3), as Cleveland (1993) warns. This idea necessitates painstaking attention to detail. Maintaining the integrity of the visual representation requires the use of consistent scales, the use of reliable data sources, and the avoidance of deceptive practices such shortened axes. Numbers are only one aspect of accuracy; another is making sure the visualization accurately depicts the facts and refrains from distorting viewers' views.</w:t>
      </w:r>
      <w:r w:rsidR="00655673" w:rsidRPr="00655673">
        <w:rPr>
          <w:sz w:val="24"/>
        </w:rPr>
        <w:t xml:space="preserve"> </w:t>
      </w:r>
    </w:p>
    <w:p w14:paraId="3010339A" w14:textId="6869841C" w:rsidR="005069EB" w:rsidRPr="00655673" w:rsidRDefault="005069EB">
      <w:pPr>
        <w:ind w:left="-5" w:right="0"/>
        <w:rPr>
          <w:sz w:val="24"/>
        </w:rPr>
      </w:pPr>
      <w:r w:rsidRPr="00655673">
        <w:rPr>
          <w:sz w:val="24"/>
        </w:rPr>
        <w:t xml:space="preserve">A successful visualization must captivate its viewers in addition to being accurate and clear. It should encourage investigation and engagement rather than just presenting facts. "Effective visualizations allow users to actively explore the data and discover insights" (p. 112), as Heer and </w:t>
      </w:r>
      <w:proofErr w:type="spellStart"/>
      <w:r w:rsidRPr="00655673">
        <w:rPr>
          <w:sz w:val="24"/>
        </w:rPr>
        <w:t>Shneiderman</w:t>
      </w:r>
      <w:proofErr w:type="spellEnd"/>
      <w:r w:rsidRPr="00655673">
        <w:rPr>
          <w:sz w:val="24"/>
        </w:rPr>
        <w:t xml:space="preserve"> (2010) imply. Dynamic transitions, interactive features, and captivating storytelling strategies can all help achieve this. Exploration-oriented visualizations promote greater </w:t>
      </w:r>
      <w:r w:rsidRPr="00655673">
        <w:rPr>
          <w:sz w:val="24"/>
        </w:rPr>
        <w:lastRenderedPageBreak/>
        <w:t>comprehension and stimulate more research. By weaving a narrative around the data, storytelling components can make the experience more impactful and memorable.</w:t>
      </w:r>
      <w:r w:rsidR="00655673" w:rsidRPr="00655673">
        <w:rPr>
          <w:sz w:val="24"/>
        </w:rPr>
        <w:t xml:space="preserve"> </w:t>
      </w:r>
    </w:p>
    <w:p w14:paraId="0F446FDC" w14:textId="77777777" w:rsidR="00655673" w:rsidRPr="00655673" w:rsidRDefault="00655673">
      <w:pPr>
        <w:ind w:left="-5" w:right="0"/>
        <w:rPr>
          <w:sz w:val="24"/>
        </w:rPr>
      </w:pPr>
    </w:p>
    <w:p w14:paraId="65439D7F" w14:textId="64B50317" w:rsidR="005069EB" w:rsidRPr="00655673" w:rsidRDefault="005069EB">
      <w:pPr>
        <w:ind w:left="-5" w:right="0"/>
        <w:rPr>
          <w:sz w:val="24"/>
        </w:rPr>
      </w:pPr>
      <w:r w:rsidRPr="00655673">
        <w:rPr>
          <w:sz w:val="24"/>
        </w:rPr>
        <w:t>In summary, clarity, accuracy, and engagement are all skillfully balanced in a well-designed visualization. Accuracy preserves the information's integrity, clarity guarantees that it is easily understood, and engagement draws in the audience. Designers can produce engaging and educational infographics by adhering to these guidelines. Learning the art of visualization is still crucial for researchers, analysts, and communicators as data-driven decision-making gains importance.</w:t>
      </w:r>
    </w:p>
    <w:p w14:paraId="188C40A8" w14:textId="77777777" w:rsidR="00655673" w:rsidRPr="00655673" w:rsidRDefault="00655673" w:rsidP="005069EB">
      <w:pPr>
        <w:spacing w:after="175" w:line="259" w:lineRule="auto"/>
        <w:ind w:left="0" w:right="0" w:firstLine="0"/>
        <w:jc w:val="left"/>
        <w:rPr>
          <w:b/>
          <w:sz w:val="24"/>
        </w:rPr>
      </w:pPr>
    </w:p>
    <w:p w14:paraId="5A3E5E9E" w14:textId="4F8410FB" w:rsidR="005069EB" w:rsidRPr="00655673" w:rsidRDefault="00000000" w:rsidP="005069EB">
      <w:pPr>
        <w:spacing w:after="175" w:line="259" w:lineRule="auto"/>
        <w:ind w:left="0" w:right="0" w:firstLine="0"/>
        <w:jc w:val="left"/>
        <w:rPr>
          <w:sz w:val="24"/>
        </w:rPr>
      </w:pPr>
      <w:r w:rsidRPr="00655673">
        <w:rPr>
          <w:b/>
          <w:sz w:val="24"/>
        </w:rPr>
        <w:t>References</w:t>
      </w:r>
    </w:p>
    <w:p w14:paraId="45450DA3" w14:textId="534F91ED" w:rsidR="00662547" w:rsidRDefault="005069EB" w:rsidP="00662547">
      <w:pPr>
        <w:pStyle w:val="ListParagraph"/>
        <w:numPr>
          <w:ilvl w:val="0"/>
          <w:numId w:val="8"/>
        </w:numPr>
        <w:autoSpaceDE w:val="0"/>
        <w:autoSpaceDN w:val="0"/>
        <w:adjustRightInd w:val="0"/>
        <w:spacing w:after="0" w:line="240" w:lineRule="auto"/>
        <w:ind w:right="0"/>
        <w:jc w:val="left"/>
        <w:rPr>
          <w:rFonts w:eastAsiaTheme="minorEastAsia"/>
          <w:color w:val="auto"/>
          <w:kern w:val="0"/>
          <w:sz w:val="24"/>
        </w:rPr>
      </w:pPr>
      <w:r w:rsidRPr="00655673">
        <w:rPr>
          <w:rFonts w:eastAsiaTheme="minorEastAsia"/>
          <w:color w:val="auto"/>
          <w:kern w:val="0"/>
          <w:sz w:val="24"/>
        </w:rPr>
        <w:t>Cleveland, W. S. (1993). Visualizing data. Hobart Press.</w:t>
      </w:r>
    </w:p>
    <w:p w14:paraId="491C4A92" w14:textId="77777777" w:rsidR="00662547" w:rsidRPr="00662547" w:rsidRDefault="00662547" w:rsidP="00662547">
      <w:pPr>
        <w:autoSpaceDE w:val="0"/>
        <w:autoSpaceDN w:val="0"/>
        <w:adjustRightInd w:val="0"/>
        <w:spacing w:after="0" w:line="240" w:lineRule="auto"/>
        <w:ind w:left="0" w:right="0" w:firstLine="0"/>
        <w:jc w:val="left"/>
        <w:rPr>
          <w:rFonts w:eastAsiaTheme="minorEastAsia"/>
          <w:color w:val="auto"/>
          <w:kern w:val="0"/>
          <w:sz w:val="24"/>
        </w:rPr>
      </w:pPr>
    </w:p>
    <w:p w14:paraId="6B3E94C7" w14:textId="24822E5D" w:rsidR="005069EB" w:rsidRDefault="005069EB" w:rsidP="00662547">
      <w:pPr>
        <w:pStyle w:val="ListParagraph"/>
        <w:numPr>
          <w:ilvl w:val="0"/>
          <w:numId w:val="8"/>
        </w:numPr>
        <w:autoSpaceDE w:val="0"/>
        <w:autoSpaceDN w:val="0"/>
        <w:adjustRightInd w:val="0"/>
        <w:spacing w:after="0" w:line="240" w:lineRule="auto"/>
        <w:ind w:right="0"/>
        <w:jc w:val="left"/>
        <w:rPr>
          <w:rFonts w:eastAsiaTheme="minorEastAsia"/>
          <w:color w:val="auto"/>
          <w:kern w:val="0"/>
          <w:sz w:val="24"/>
        </w:rPr>
      </w:pPr>
      <w:r w:rsidRPr="00655673">
        <w:rPr>
          <w:rFonts w:eastAsiaTheme="minorEastAsia"/>
          <w:color w:val="auto"/>
          <w:kern w:val="0"/>
          <w:sz w:val="24"/>
        </w:rPr>
        <w:t xml:space="preserve">Heer, J., &amp; </w:t>
      </w:r>
      <w:proofErr w:type="spellStart"/>
      <w:r w:rsidRPr="00655673">
        <w:rPr>
          <w:rFonts w:eastAsiaTheme="minorEastAsia"/>
          <w:color w:val="auto"/>
          <w:kern w:val="0"/>
          <w:sz w:val="24"/>
        </w:rPr>
        <w:t>Shneiderman</w:t>
      </w:r>
      <w:proofErr w:type="spellEnd"/>
      <w:r w:rsidRPr="00655673">
        <w:rPr>
          <w:rFonts w:eastAsiaTheme="minorEastAsia"/>
          <w:color w:val="auto"/>
          <w:kern w:val="0"/>
          <w:sz w:val="24"/>
        </w:rPr>
        <w:t>, B. (2010). Interactive data visualization: A design study.</w:t>
      </w:r>
      <w:r w:rsidRPr="00662547">
        <w:rPr>
          <w:rFonts w:eastAsiaTheme="minorEastAsia"/>
          <w:color w:val="auto"/>
          <w:kern w:val="0"/>
          <w:sz w:val="24"/>
        </w:rPr>
        <w:t xml:space="preserve"> Proceedings of the 2010 ACM SIGCHI Conference on Human Factors in Computing Systems (pp. 112-121).</w:t>
      </w:r>
    </w:p>
    <w:p w14:paraId="34E41C91" w14:textId="77777777" w:rsidR="00662547" w:rsidRPr="00662547" w:rsidRDefault="00662547" w:rsidP="00662547">
      <w:pPr>
        <w:autoSpaceDE w:val="0"/>
        <w:autoSpaceDN w:val="0"/>
        <w:adjustRightInd w:val="0"/>
        <w:spacing w:after="0" w:line="240" w:lineRule="auto"/>
        <w:ind w:left="0" w:right="0" w:firstLine="0"/>
        <w:jc w:val="left"/>
        <w:rPr>
          <w:rFonts w:eastAsiaTheme="minorEastAsia"/>
          <w:color w:val="auto"/>
          <w:kern w:val="0"/>
          <w:sz w:val="24"/>
        </w:rPr>
      </w:pPr>
    </w:p>
    <w:p w14:paraId="5ADE93CC" w14:textId="6C609FC4" w:rsidR="005069EB" w:rsidRPr="00655673" w:rsidRDefault="005069EB" w:rsidP="005069EB">
      <w:pPr>
        <w:pStyle w:val="ListParagraph"/>
        <w:numPr>
          <w:ilvl w:val="0"/>
          <w:numId w:val="8"/>
        </w:numPr>
        <w:autoSpaceDE w:val="0"/>
        <w:autoSpaceDN w:val="0"/>
        <w:adjustRightInd w:val="0"/>
        <w:spacing w:after="0" w:line="240" w:lineRule="auto"/>
        <w:ind w:right="0"/>
        <w:jc w:val="left"/>
        <w:rPr>
          <w:rFonts w:eastAsiaTheme="minorEastAsia"/>
          <w:color w:val="auto"/>
          <w:kern w:val="0"/>
          <w:sz w:val="24"/>
        </w:rPr>
      </w:pPr>
      <w:r w:rsidRPr="00655673">
        <w:rPr>
          <w:rFonts w:eastAsiaTheme="minorEastAsia"/>
          <w:color w:val="auto"/>
          <w:kern w:val="0"/>
          <w:sz w:val="24"/>
        </w:rPr>
        <w:t>Tufte, E. R. (2001). The visual display of quantitative information. Graphics Press.</w:t>
      </w:r>
    </w:p>
    <w:p w14:paraId="7A336581" w14:textId="77777777" w:rsidR="004A3560" w:rsidRPr="00655673" w:rsidRDefault="004A3560" w:rsidP="005069EB">
      <w:pPr>
        <w:spacing w:line="259" w:lineRule="auto"/>
        <w:ind w:right="0"/>
        <w:rPr>
          <w:sz w:val="24"/>
        </w:rPr>
      </w:pPr>
    </w:p>
    <w:sectPr w:rsidR="004A3560" w:rsidRPr="00655673">
      <w:pgSz w:w="12240" w:h="15840"/>
      <w:pgMar w:top="1448" w:right="1450" w:bottom="1832"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466297"/>
    <w:multiLevelType w:val="hybridMultilevel"/>
    <w:tmpl w:val="BEF4465E"/>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E5612A1"/>
    <w:multiLevelType w:val="hybridMultilevel"/>
    <w:tmpl w:val="CD084B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8AD2FEE"/>
    <w:multiLevelType w:val="hybridMultilevel"/>
    <w:tmpl w:val="E618E3A2"/>
    <w:lvl w:ilvl="0" w:tplc="42201500">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C56131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6AACD66">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20490F0">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614C3FA">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2CCA800">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EF804C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994465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D18CF38">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11F0DB2"/>
    <w:multiLevelType w:val="hybridMultilevel"/>
    <w:tmpl w:val="F8046B98"/>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414A0392"/>
    <w:multiLevelType w:val="hybridMultilevel"/>
    <w:tmpl w:val="45B479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D5339B8"/>
    <w:multiLevelType w:val="hybridMultilevel"/>
    <w:tmpl w:val="9BCEACC4"/>
    <w:lvl w:ilvl="0" w:tplc="91BC522C">
      <w:start w:val="1"/>
      <w:numFmt w:val="decimal"/>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C75E89"/>
    <w:multiLevelType w:val="hybridMultilevel"/>
    <w:tmpl w:val="E856C3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227454A"/>
    <w:multiLevelType w:val="hybridMultilevel"/>
    <w:tmpl w:val="452054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6521C1"/>
    <w:multiLevelType w:val="hybridMultilevel"/>
    <w:tmpl w:val="2B62B5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3995870">
    <w:abstractNumId w:val="2"/>
  </w:num>
  <w:num w:numId="2" w16cid:durableId="216478430">
    <w:abstractNumId w:val="7"/>
  </w:num>
  <w:num w:numId="3" w16cid:durableId="1571573111">
    <w:abstractNumId w:val="8"/>
  </w:num>
  <w:num w:numId="4" w16cid:durableId="303780751">
    <w:abstractNumId w:val="0"/>
  </w:num>
  <w:num w:numId="5" w16cid:durableId="2129660215">
    <w:abstractNumId w:val="4"/>
  </w:num>
  <w:num w:numId="6" w16cid:durableId="558980048">
    <w:abstractNumId w:val="3"/>
  </w:num>
  <w:num w:numId="7" w16cid:durableId="791437710">
    <w:abstractNumId w:val="6"/>
  </w:num>
  <w:num w:numId="8" w16cid:durableId="1203710977">
    <w:abstractNumId w:val="5"/>
  </w:num>
  <w:num w:numId="9" w16cid:durableId="543057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EAA"/>
    <w:rsid w:val="004A3560"/>
    <w:rsid w:val="005069EB"/>
    <w:rsid w:val="00654C84"/>
    <w:rsid w:val="00655673"/>
    <w:rsid w:val="00662547"/>
    <w:rsid w:val="00BC1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51A522"/>
  <w15:docId w15:val="{AE9D0B56-0155-5944-89E7-2FBA33F18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57" w:lineRule="auto"/>
      <w:ind w:left="10" w:right="7" w:hanging="10"/>
      <w:jc w:val="both"/>
    </w:pPr>
    <w:rPr>
      <w:rFonts w:ascii="Times New Roman" w:eastAsia="Times New Roman" w:hAnsi="Times New Roman" w:cs="Times New Roman"/>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5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77803">
      <w:bodyDiv w:val="1"/>
      <w:marLeft w:val="0"/>
      <w:marRight w:val="0"/>
      <w:marTop w:val="0"/>
      <w:marBottom w:val="0"/>
      <w:divBdr>
        <w:top w:val="none" w:sz="0" w:space="0" w:color="auto"/>
        <w:left w:val="none" w:sz="0" w:space="0" w:color="auto"/>
        <w:bottom w:val="none" w:sz="0" w:space="0" w:color="auto"/>
        <w:right w:val="none" w:sz="0" w:space="0" w:color="auto"/>
      </w:divBdr>
    </w:div>
    <w:div w:id="360713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Nimmalapudi, SivaSree</dc:creator>
  <cp:keywords/>
  <cp:lastModifiedBy>kommineniajay2023@gmail.com</cp:lastModifiedBy>
  <cp:revision>3</cp:revision>
  <dcterms:created xsi:type="dcterms:W3CDTF">2025-01-31T03:22:00Z</dcterms:created>
  <dcterms:modified xsi:type="dcterms:W3CDTF">2025-01-31T03:23:00Z</dcterms:modified>
</cp:coreProperties>
</file>