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4AB42" w14:textId="77777777" w:rsidR="00CA64A7" w:rsidRDefault="00000000">
      <w:pPr>
        <w:spacing w:after="0" w:line="259" w:lineRule="auto"/>
        <w:ind w:right="44"/>
        <w:jc w:val="right"/>
      </w:pPr>
      <w:r>
        <w:rPr>
          <w:rFonts w:ascii="Calibri" w:eastAsia="Calibri" w:hAnsi="Calibri" w:cs="Calibri"/>
          <w:sz w:val="22"/>
        </w:rPr>
        <w:t xml:space="preserve">1 </w:t>
      </w:r>
    </w:p>
    <w:p w14:paraId="128AEA75" w14:textId="77777777" w:rsidR="00CA64A7" w:rsidRDefault="00000000">
      <w:pPr>
        <w:spacing w:after="440" w:line="259" w:lineRule="auto"/>
        <w:ind w:left="0" w:right="0" w:firstLine="0"/>
      </w:pPr>
      <w:r>
        <w:rPr>
          <w:rFonts w:ascii="Calibri" w:eastAsia="Calibri" w:hAnsi="Calibri" w:cs="Calibri"/>
          <w:sz w:val="22"/>
        </w:rPr>
        <w:t xml:space="preserve"> </w:t>
      </w:r>
    </w:p>
    <w:p w14:paraId="7651380F" w14:textId="77777777" w:rsidR="00CA64A7" w:rsidRDefault="00000000">
      <w:pPr>
        <w:pStyle w:val="Heading1"/>
        <w:spacing w:after="236"/>
        <w:ind w:left="0" w:firstLine="0"/>
        <w:jc w:val="center"/>
      </w:pPr>
      <w:r>
        <w:t>Class Quiz 4</w:t>
      </w:r>
    </w:p>
    <w:p w14:paraId="24E08213" w14:textId="77777777" w:rsidR="00CA64A7" w:rsidRDefault="00000000">
      <w:pPr>
        <w:spacing w:after="200" w:line="259" w:lineRule="auto"/>
        <w:ind w:left="-1" w:right="0" w:firstLine="0"/>
        <w:jc w:val="right"/>
      </w:pPr>
      <w:r>
        <w:rPr>
          <w:noProof/>
        </w:rPr>
        <w:drawing>
          <wp:inline distT="0" distB="0" distL="0" distR="0" wp14:anchorId="1C40DF32" wp14:editId="7FBF4A84">
            <wp:extent cx="5943600" cy="3668395"/>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5"/>
                    <a:stretch>
                      <a:fillRect/>
                    </a:stretch>
                  </pic:blipFill>
                  <pic:spPr>
                    <a:xfrm>
                      <a:off x="0" y="0"/>
                      <a:ext cx="5943600" cy="3668395"/>
                    </a:xfrm>
                    <a:prstGeom prst="rect">
                      <a:avLst/>
                    </a:prstGeom>
                  </pic:spPr>
                </pic:pic>
              </a:graphicData>
            </a:graphic>
          </wp:inline>
        </w:drawing>
      </w:r>
      <w:r>
        <w:rPr>
          <w:b/>
        </w:rPr>
        <w:t xml:space="preserve"> </w:t>
      </w:r>
    </w:p>
    <w:p w14:paraId="53EAD8A9" w14:textId="77777777" w:rsidR="00CA64A7" w:rsidRDefault="00000000">
      <w:pPr>
        <w:spacing w:after="301" w:line="259" w:lineRule="auto"/>
        <w:ind w:left="0" w:right="0" w:firstLine="0"/>
        <w:jc w:val="center"/>
      </w:pPr>
      <w:r>
        <w:rPr>
          <w:b/>
        </w:rPr>
        <w:t xml:space="preserve"> </w:t>
      </w:r>
    </w:p>
    <w:p w14:paraId="7386A95A" w14:textId="77777777" w:rsidR="00CA64A7" w:rsidRDefault="00000000">
      <w:pPr>
        <w:pStyle w:val="Heading1"/>
        <w:ind w:left="-5" w:right="0"/>
      </w:pPr>
      <w:r>
        <w:t xml:space="preserve">Career Progression &amp; Salary Growth </w:t>
      </w:r>
    </w:p>
    <w:p w14:paraId="0E2395BD" w14:textId="01CEC0EA" w:rsidR="00CA64A7" w:rsidRPr="007862DF" w:rsidRDefault="007862DF" w:rsidP="007862DF">
      <w:pPr>
        <w:spacing w:after="0" w:line="276" w:lineRule="auto"/>
        <w:ind w:left="0" w:right="0" w:firstLine="0"/>
        <w:rPr>
          <w:color w:val="auto"/>
          <w:kern w:val="0"/>
          <w:sz w:val="28"/>
          <w:szCs w:val="28"/>
          <w:lang w:val="en-US" w:eastAsia="en-US"/>
          <w14:ligatures w14:val="none"/>
        </w:rPr>
      </w:pPr>
      <w:r w:rsidRPr="007862DF">
        <w:rPr>
          <w:color w:val="auto"/>
          <w:kern w:val="0"/>
          <w:sz w:val="28"/>
          <w:szCs w:val="28"/>
          <w:lang w:val="en-US" w:eastAsia="en-US"/>
          <w14:ligatures w14:val="none"/>
        </w:rPr>
        <w:br/>
        <w:t xml:space="preserve">• Career growth is structured, as academic members continue to advance from assistant professor to associate professor to full professor, resulting in compensation increases. Although there seems to be diversity among ranks, the number of years after a PhD and pay have a substantial positive link. </w:t>
      </w:r>
      <w:r w:rsidRPr="007862DF">
        <w:rPr>
          <w:sz w:val="28"/>
          <w:szCs w:val="28"/>
        </w:rPr>
        <w:t xml:space="preserve">Academic salaries are influenced by rank and experience level, and they typically rise in tandem. Nonetheless, there are distinctions due to factors including administrative responsibilities, research funding, and discipline. Because academics have greater earning potential, assistant professors make less money than professors. </w:t>
      </w:r>
      <w:r w:rsidR="00000000" w:rsidRPr="007862DF">
        <w:rPr>
          <w:sz w:val="28"/>
          <w:szCs w:val="28"/>
        </w:rPr>
        <w:t xml:space="preserve"> </w:t>
      </w:r>
    </w:p>
    <w:p w14:paraId="06343779" w14:textId="77777777" w:rsidR="00CA64A7" w:rsidRDefault="00000000">
      <w:pPr>
        <w:spacing w:after="0" w:line="259" w:lineRule="auto"/>
        <w:ind w:left="361" w:right="0" w:firstLine="0"/>
      </w:pPr>
      <w:r>
        <w:t xml:space="preserve"> </w:t>
      </w:r>
    </w:p>
    <w:sectPr w:rsidR="00CA64A7">
      <w:pgSz w:w="12240" w:h="15840"/>
      <w:pgMar w:top="766" w:right="1375" w:bottom="163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31B10"/>
    <w:multiLevelType w:val="hybridMultilevel"/>
    <w:tmpl w:val="D2B03124"/>
    <w:lvl w:ilvl="0" w:tplc="8E3AB2D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746B2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4683A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7E630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206C6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863CB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AC56A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F04DE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1E206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1563B8"/>
    <w:multiLevelType w:val="hybridMultilevel"/>
    <w:tmpl w:val="B3D6C154"/>
    <w:lvl w:ilvl="0" w:tplc="7004E76E">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BAF8E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18329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D2A4B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10714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C48D4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84B50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269DC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BE0FF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37572B"/>
    <w:multiLevelType w:val="hybridMultilevel"/>
    <w:tmpl w:val="9E8269F8"/>
    <w:lvl w:ilvl="0" w:tplc="DAFA33A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20555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C8CB4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7E999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DEBF4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5A49C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B0A52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6488B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6404B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9D1DDD"/>
    <w:multiLevelType w:val="hybridMultilevel"/>
    <w:tmpl w:val="D9E60698"/>
    <w:lvl w:ilvl="0" w:tplc="78F268E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A1E6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5404D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EA81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12F25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94EC0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9D03EE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2C328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0CA1E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01828918">
    <w:abstractNumId w:val="1"/>
  </w:num>
  <w:num w:numId="2" w16cid:durableId="1682007848">
    <w:abstractNumId w:val="2"/>
  </w:num>
  <w:num w:numId="3" w16cid:durableId="471560816">
    <w:abstractNumId w:val="0"/>
  </w:num>
  <w:num w:numId="4" w16cid:durableId="780950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A7"/>
    <w:rsid w:val="007862DF"/>
    <w:rsid w:val="00CA64A7"/>
    <w:rsid w:val="00DF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0DE04"/>
  <w15:docId w15:val="{986B1DF2-DCCE-A44A-BE5F-F402F810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505" w:lineRule="auto"/>
      <w:ind w:left="10" w:right="88"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322" w:line="259" w:lineRule="auto"/>
      <w:ind w:left="10" w:right="1022"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72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kommineni</dc:creator>
  <cp:keywords/>
  <cp:lastModifiedBy>ajay kommineni</cp:lastModifiedBy>
  <cp:revision>2</cp:revision>
  <dcterms:created xsi:type="dcterms:W3CDTF">2025-03-13T16:28:00Z</dcterms:created>
  <dcterms:modified xsi:type="dcterms:W3CDTF">2025-03-13T16:28:00Z</dcterms:modified>
</cp:coreProperties>
</file>