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left"/>
      </w:pPr>
      <w:r>
        <w:rPr>
          <w:rFonts w:ascii="Segoe UI" w:hAnsi="Segoe UI"/>
          <w:b/>
          <w:color w:val="0D9488"/>
          <w:sz w:val="22"/>
        </w:rPr>
        <w:t>LOGISTICS &amp; SUPPLY CHAIN DATA SCIENCE CAPSTONE</w:t>
        <w:br/>
      </w:r>
      <w:r>
        <w:rPr>
          <w:rFonts w:ascii="Segoe UI Semibold" w:hAnsi="Segoe UI Semibold"/>
          <w:b/>
          <w:color w:val="1E3A8A"/>
          <w:sz w:val="44"/>
        </w:rPr>
        <w:t>Week 3: Advanced Data Analysis and Visualization in Logistics</w:t>
        <w:br/>
      </w:r>
      <w:r>
        <w:rPr>
          <w:rFonts w:ascii="Segoe UI" w:hAnsi="Segoe UI"/>
          <w:i/>
          <w:color w:val="64748B"/>
          <w:sz w:val="26"/>
        </w:rPr>
        <w:t>Theme: Logistics Delivery Performance, Shipment Volume, and Transportation Cost Analysis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r>
              <w:rPr>
                <w:b/>
                <w:color w:val="1E3A8A"/>
                <w:sz w:val="19"/>
              </w:rPr>
              <w:t>Candidate Name / Author:</w:t>
            </w:r>
          </w:p>
        </w:tc>
        <w:tc>
          <w:tcPr>
            <w:tcW w:type="dxa" w:w="6192"/>
            <w:shd w:fill="FFFFFF"/>
            <w:tcMar>
              <w:top w:w="80" w:type="dxa"/>
              <w:bottom w:w="80" w:type="dxa"/>
              <w:left w:w="100" w:type="dxa"/>
              <w:right w:w="100" w:type="dxa"/>
            </w:tcMar>
          </w:tcPr>
          <w:p>
            <w:r>
              <w:rPr>
                <w:b/>
                <w:color w:val="1E3A8A"/>
                <w:sz w:val="19"/>
              </w:rPr>
              <w:t>Ajay M</w:t>
            </w:r>
          </w:p>
        </w:tc>
      </w:tr>
      <w:tr>
        <w:tc>
          <w:tcPr>
            <w:tcW w:type="dxa" w:w="3168"/>
            <w:shd w:fill="F1F5F9"/>
            <w:tcMar>
              <w:top w:w="80" w:type="dxa"/>
              <w:bottom w:w="80" w:type="dxa"/>
              <w:left w:w="100" w:type="dxa"/>
              <w:right w:w="100" w:type="dxa"/>
            </w:tcMar>
          </w:tcPr>
          <w:p>
            <w:r>
              <w:rPr>
                <w:b/>
                <w:color w:val="1E3A8A"/>
                <w:sz w:val="19"/>
              </w:rPr>
              <w:t>Role:</w:t>
            </w:r>
          </w:p>
        </w:tc>
        <w:tc>
          <w:tcPr>
            <w:tcW w:type="dxa" w:w="6192"/>
            <w:shd w:fill="FFFFFF"/>
            <w:tcMar>
              <w:top w:w="80" w:type="dxa"/>
              <w:bottom w:w="80" w:type="dxa"/>
              <w:left w:w="100" w:type="dxa"/>
              <w:right w:w="100" w:type="dxa"/>
            </w:tcMar>
          </w:tcPr>
          <w:p>
            <w:r>
              <w:rPr>
                <w:sz w:val="19"/>
              </w:rPr>
              <w:t>Senior Logistics Analytics Consultant &amp; Python Data Science Developer</w:t>
            </w:r>
          </w:p>
        </w:tc>
      </w:tr>
      <w:tr>
        <w:tc>
          <w:tcPr>
            <w:tcW w:type="dxa" w:w="3168"/>
            <w:shd w:fill="F1F5F9"/>
            <w:tcMar>
              <w:top w:w="80" w:type="dxa"/>
              <w:bottom w:w="80" w:type="dxa"/>
              <w:left w:w="100" w:type="dxa"/>
              <w:right w:w="100" w:type="dxa"/>
            </w:tcMar>
          </w:tcPr>
          <w:p>
            <w:r>
              <w:rPr>
                <w:b/>
                <w:color w:val="1E3A8A"/>
                <w:sz w:val="19"/>
              </w:rPr>
              <w:t>Course Module:</w:t>
            </w:r>
          </w:p>
        </w:tc>
        <w:tc>
          <w:tcPr>
            <w:tcW w:type="dxa" w:w="6192"/>
            <w:shd w:fill="FFFFFF"/>
            <w:tcMar>
              <w:top w:w="80" w:type="dxa"/>
              <w:bottom w:w="80" w:type="dxa"/>
              <w:left w:w="100" w:type="dxa"/>
              <w:right w:w="100" w:type="dxa"/>
            </w:tcMar>
          </w:tcPr>
          <w:p>
            <w:r>
              <w:rPr>
                <w:sz w:val="19"/>
              </w:rPr>
              <w:t>Week 3: Advanced Exploratory Data Analysis &amp; Visualization</w:t>
            </w:r>
          </w:p>
        </w:tc>
      </w:tr>
      <w:tr>
        <w:tc>
          <w:tcPr>
            <w:tcW w:type="dxa" w:w="3168"/>
            <w:shd w:fill="F1F5F9"/>
            <w:tcMar>
              <w:top w:w="80" w:type="dxa"/>
              <w:bottom w:w="80" w:type="dxa"/>
              <w:left w:w="100" w:type="dxa"/>
              <w:right w:w="100" w:type="dxa"/>
            </w:tcMar>
          </w:tcPr>
          <w:p>
            <w:r>
              <w:rPr>
                <w:b/>
                <w:color w:val="1E3A8A"/>
                <w:sz w:val="19"/>
              </w:rPr>
              <w:t>Dataset Analyzed:</w:t>
            </w:r>
          </w:p>
        </w:tc>
        <w:tc>
          <w:tcPr>
            <w:tcW w:type="dxa" w:w="6192"/>
            <w:shd w:fill="FFFFFF"/>
            <w:tcMar>
              <w:top w:w="80" w:type="dxa"/>
              <w:bottom w:w="80" w:type="dxa"/>
              <w:left w:w="100" w:type="dxa"/>
              <w:right w:w="100" w:type="dxa"/>
            </w:tcMar>
          </w:tcPr>
          <w:p>
            <w:r>
              <w:rPr>
                <w:sz w:val="19"/>
              </w:rPr>
              <w:t>Enterprise Cleaned Logistics Operations Dataset (1,250 Shipments)</w:t>
            </w:r>
          </w:p>
        </w:tc>
      </w:tr>
      <w:tr>
        <w:tc>
          <w:tcPr>
            <w:tcW w:type="dxa" w:w="3168"/>
            <w:shd w:fill="F1F5F9"/>
            <w:tcMar>
              <w:top w:w="80" w:type="dxa"/>
              <w:bottom w:w="80" w:type="dxa"/>
              <w:left w:w="100" w:type="dxa"/>
              <w:right w:w="100" w:type="dxa"/>
            </w:tcMar>
          </w:tcPr>
          <w:p>
            <w:r>
              <w:rPr>
                <w:b/>
                <w:color w:val="1E3A8A"/>
                <w:sz w:val="19"/>
              </w:rPr>
              <w:t>Submission Date:</w:t>
            </w:r>
          </w:p>
        </w:tc>
        <w:tc>
          <w:tcPr>
            <w:tcW w:type="dxa" w:w="6192"/>
            <w:shd w:fill="FFFFFF"/>
            <w:tcMar>
              <w:top w:w="80" w:type="dxa"/>
              <w:bottom w:w="80" w:type="dxa"/>
              <w:left w:w="100" w:type="dxa"/>
              <w:right w:w="100" w:type="dxa"/>
            </w:tcMar>
          </w:tcPr>
          <w:p>
            <w:r>
              <w:rPr>
                <w:sz w:val="19"/>
              </w:rPr>
              <w:t>August 2026</w:t>
            </w:r>
          </w:p>
        </w:tc>
      </w:tr>
    </w:tbl>
    <w:p>
      <w:pPr>
        <w:spacing w:after="400"/>
      </w:pPr>
    </w:p>
    <w:p>
      <w:r>
        <w:br w:type="page"/>
      </w:r>
    </w:p>
    <w:p>
      <w:pPr>
        <w:pStyle w:val="Heading1"/>
        <w:keepNext/>
        <w:spacing w:before="360" w:after="120"/>
      </w:pPr>
      <w:r>
        <w:rPr>
          <w:rFonts w:ascii="Segoe UI Semibold" w:hAnsi="Segoe UI Semibold"/>
          <w:b/>
          <w:color w:val="1E3A8A"/>
          <w:sz w:val="32"/>
        </w:rPr>
        <w:t>1. Executive Summary</w:t>
      </w:r>
    </w:p>
    <w:p>
      <w:pPr>
        <w:spacing w:after="120" w:line="276" w:lineRule="auto"/>
      </w:pPr>
      <w:r>
        <w:rPr>
          <w:rFonts w:ascii="Segoe UI" w:hAnsi="Segoe UI"/>
          <w:i w:val="0"/>
          <w:sz w:val="20"/>
        </w:rPr>
        <w:t>Modern enterprise logistics networks operate in complex, volatile environments characterized by stringent customer service level agreements (SLAs), multi-modal freight routing, and thin operating contribution margins. This project presents an exhaustive exploratory, diagnostic, and statistical analysis of enterprise logistics operations conducted by Ajay M. By evaluating 1,250 multi-modal freight shipment records spanning five destination regions, four customer segments, five origin warehouse hubs, and four freight shipping modes across the first half of 2024, this study establishes a rigorous empirical foundation for supply chain optimization.</w:t>
      </w:r>
    </w:p>
    <w:p>
      <w:pPr>
        <w:pStyle w:val="ListBullet"/>
        <w:spacing w:after="60" w:line="276" w:lineRule="auto"/>
      </w:pPr>
      <w:r>
        <w:rPr>
          <w:b/>
          <w:color w:val="1E3A8A"/>
          <w:sz w:val="20"/>
        </w:rPr>
        <w:t xml:space="preserve">Fulfillment Latency &amp; Delay Burden: </w:t>
      </w:r>
      <w:r>
        <w:rPr>
          <w:sz w:val="20"/>
        </w:rPr>
        <w:t>The overall network average delivery latency is 5.00 days (median: 5.20 days, standard deviation: 2.14 days). The network achieves an On-Time Delivery Rate of only 28.24%, resulting in a systemic Delivery Delay Rate of 71.76% (897 delayed shipments).</w:t>
      </w:r>
    </w:p>
    <w:p>
      <w:pPr>
        <w:pStyle w:val="ListBullet"/>
        <w:spacing w:after="60" w:line="276" w:lineRule="auto"/>
      </w:pPr>
      <w:r>
        <w:rPr>
          <w:b/>
          <w:color w:val="1E3A8A"/>
          <w:sz w:val="20"/>
        </w:rPr>
        <w:t xml:space="preserve">Expedited Tier Fragility: </w:t>
      </w:r>
      <w:r>
        <w:rPr>
          <w:sz w:val="20"/>
        </w:rPr>
        <w:t>High-cost premium service tiers suffer from severe schedule slippage. Same-Day Courier (averaging $172.50/shipment) and Express Air (averaging $138.55/shipment) exhibit delay rates of 76.19% and 72.97% against their 1-day and 2-day SLA targets, severely undermining customer trust.</w:t>
      </w:r>
    </w:p>
    <w:p>
      <w:pPr>
        <w:pStyle w:val="ListBullet"/>
        <w:spacing w:after="60" w:line="276" w:lineRule="auto"/>
      </w:pPr>
      <w:r>
        <w:rPr>
          <w:b/>
          <w:color w:val="1E3A8A"/>
          <w:sz w:val="20"/>
        </w:rPr>
        <w:t xml:space="preserve">Geographic Disparities: </w:t>
      </w:r>
      <w:r>
        <w:rPr>
          <w:sz w:val="20"/>
        </w:rPr>
        <w:t>The South region experiences the highest transit latency (5.19 days average) and the highest regional delay rate (76.98%), leading to the lowest regional customer satisfaction rating (3.50 / 5.0). Conversely, the North region captures the largest shipment volume (320 orders, 25.60% share) and highest customer satisfaction (3.76 / 5.0).</w:t>
      </w:r>
    </w:p>
    <w:p>
      <w:pPr>
        <w:pStyle w:val="ListBullet"/>
        <w:spacing w:after="60" w:line="276" w:lineRule="auto"/>
      </w:pPr>
      <w:r>
        <w:rPr>
          <w:b/>
          <w:color w:val="1E3A8A"/>
          <w:sz w:val="20"/>
        </w:rPr>
        <w:t xml:space="preserve">Transportation Cost Dynamics: </w:t>
      </w:r>
      <w:r>
        <w:rPr>
          <w:sz w:val="20"/>
        </w:rPr>
        <w:t>Total shipping expenditure reached $114,809.33 against gross commercial sales of $769,293.85, yielding an aggregate Shipping-Cost-to-Sales ratio of 14.92%. Transportation distance serves as a primary linear cost driver (r = +0.67, slope = $0.061/KM).</w:t>
      </w:r>
    </w:p>
    <w:p>
      <w:pPr>
        <w:pStyle w:val="ListBullet"/>
        <w:spacing w:after="60" w:line="276" w:lineRule="auto"/>
      </w:pPr>
      <w:r>
        <w:rPr>
          <w:b/>
          <w:color w:val="1E3A8A"/>
          <w:sz w:val="20"/>
        </w:rPr>
        <w:t xml:space="preserve">Product Category Vulnerabilities: </w:t>
      </w:r>
      <w:r>
        <w:rPr>
          <w:sz w:val="20"/>
        </w:rPr>
        <w:t>While Industrial Machinery generates the largest revenue share ($364,799.80, 47.42% of total sales) with a minimal freight ratio (5.07%), Office Supplies incurs severe margin erosion, with shipping costs accounting for 78.73% of gross sales due to small basket sizes and heavy/bulky paper commodities.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D9488"/>
              <w:bottom w:val="none"/>
              <w:right w:val="none"/>
            </w:tcBorders>
          </w:tcPr>
          <w:p>
            <w:pPr>
              <w:spacing w:before="40" w:after="80"/>
            </w:pPr>
            <w:r>
              <w:rPr>
                <w:rFonts w:ascii="Segoe UI" w:hAnsi="Segoe UI"/>
                <w:b/>
                <w:color w:val="1E3A8A"/>
                <w:sz w:val="21"/>
              </w:rPr>
              <w:t>📌 Executive Recommendation Summary</w:t>
              <w:br/>
            </w:r>
            <w:r>
              <w:rPr>
                <w:rFonts w:ascii="Segoe UI" w:hAnsi="Segoe UI"/>
                <w:color w:val="0F172A"/>
                <w:sz w:val="19"/>
              </w:rPr>
              <w:t>1. Restructure carrier contracts with SLA penalty credit clauses for express deliveries exceeding commitments.</w:t>
              <w:br/>
              <w:t>2. Establish regional cross-docking forward hubs in the South and West corridors to compress long-haul distance.</w:t>
              <w:br/>
              <w:t>3. Enforce minimum order values ($50) and cartonization optimization for Office Supplies and Apparel.</w:t>
              <w:br/>
              <w:t>4. Deploy machine learning predictive classification pipelines for real-time dispatch delay risk scoring during checkout.</w:t>
            </w:r>
          </w:p>
        </w:tc>
      </w:tr>
    </w:tbl>
    <w:p/>
    <w:p>
      <w:pPr>
        <w:pStyle w:val="Heading1"/>
        <w:keepNext/>
        <w:spacing w:before="360" w:after="120"/>
      </w:pPr>
      <w:r>
        <w:rPr>
          <w:rFonts w:ascii="Segoe UI Semibold" w:hAnsi="Segoe UI Semibold"/>
          <w:b/>
          <w:color w:val="1E3A8A"/>
          <w:sz w:val="32"/>
        </w:rPr>
        <w:t>2. Introduction</w:t>
      </w:r>
    </w:p>
    <w:p>
      <w:pPr>
        <w:spacing w:after="120" w:line="276" w:lineRule="auto"/>
      </w:pPr>
      <w:r>
        <w:rPr>
          <w:rFonts w:ascii="Segoe UI" w:hAnsi="Segoe UI"/>
          <w:i w:val="0"/>
          <w:sz w:val="20"/>
        </w:rPr>
        <w:t>Logistics analytics involves the quantitative examination of procurement, warehousing, inventory staging, and transportation processes to maximize operational efficiency, minimize fulfillment friction, and protect operating contribution margins. In modern globalized commerce, organizations manage intricate physical networks where customer expectations for rapid, predictable delivery must be balanced against volatile transportation expenditures and carrier capacity constraints.</w:t>
      </w:r>
    </w:p>
    <w:p>
      <w:pPr>
        <w:spacing w:after="120" w:line="276" w:lineRule="auto"/>
      </w:pPr>
      <w:r>
        <w:rPr>
          <w:rFonts w:ascii="Segoe UI" w:hAnsi="Segoe UI"/>
          <w:i w:val="0"/>
          <w:sz w:val="20"/>
        </w:rPr>
        <w:t>This capstone report documents the advanced exploratory data analysis and visualization workflow executed by Ajay M. Building upon foundational strategic frameworks and robust data preprocessing pipelines, this investigation utilizes descriptive statistics, inferential hypothesis testing, bivariate regressions, and publication-grade multivariate visualizations to uncover operational bottlenecks across an enterprise distribution network.</w:t>
      </w:r>
    </w:p>
    <w:p>
      <w:pPr>
        <w:pStyle w:val="Heading1"/>
        <w:keepNext/>
        <w:spacing w:before="360" w:after="120"/>
      </w:pPr>
      <w:r>
        <w:rPr>
          <w:rFonts w:ascii="Segoe UI Semibold" w:hAnsi="Segoe UI Semibold"/>
          <w:b/>
          <w:color w:val="1E3A8A"/>
          <w:sz w:val="32"/>
        </w:rPr>
        <w:t>3. Project Objective</w:t>
      </w:r>
    </w:p>
    <w:p>
      <w:pPr>
        <w:spacing w:after="120" w:line="276" w:lineRule="auto"/>
      </w:pPr>
      <w:r>
        <w:rPr>
          <w:rFonts w:ascii="Segoe UI" w:hAnsi="Segoe UI"/>
          <w:i w:val="0"/>
          <w:sz w:val="20"/>
        </w:rPr>
        <w:t>The overarching objective of this project is to convert raw logistics transaction logs into actionable, data-driven business intelligence following the standard analytical progression:</w:t>
      </w:r>
    </w:p>
    <w:p>
      <w:pPr>
        <w:spacing w:after="120" w:line="276" w:lineRule="auto"/>
      </w:pPr>
      <w:r>
        <w:rPr>
          <w:rFonts w:ascii="Segoe UI" w:hAnsi="Segoe UI"/>
          <w:i/>
          <w:sz w:val="20"/>
        </w:rPr>
        <w:t>Data Ingestion → Exploratory Data Analysis → Statistical Modeling → Publication Visualizations → Diagnostic Insights → Strategic Action Plans</w:t>
      </w:r>
    </w:p>
    <w:p>
      <w:pPr>
        <w:pStyle w:val="ListBullet"/>
        <w:spacing w:after="60" w:line="276" w:lineRule="auto"/>
      </w:pPr>
      <w:r>
        <w:rPr>
          <w:b/>
          <w:color w:val="1E3A8A"/>
          <w:sz w:val="20"/>
        </w:rPr>
        <w:t xml:space="preserve">Objective 1: </w:t>
      </w:r>
      <w:r>
        <w:rPr>
          <w:sz w:val="20"/>
        </w:rPr>
        <w:t>Calculate comprehensive measures of central tendency, dispersion, and distribution symmetry for all operational metrics.</w:t>
      </w:r>
    </w:p>
    <w:p>
      <w:pPr>
        <w:pStyle w:val="ListBullet"/>
        <w:spacing w:after="60" w:line="276" w:lineRule="auto"/>
      </w:pPr>
      <w:r>
        <w:rPr>
          <w:b/>
          <w:color w:val="1E3A8A"/>
          <w:sz w:val="20"/>
        </w:rPr>
        <w:t xml:space="preserve">Objective 2: </w:t>
      </w:r>
      <w:r>
        <w:rPr>
          <w:sz w:val="20"/>
        </w:rPr>
        <w:t>Formulate and compute core enterprise logistics Key Performance Indicators (KPIs).</w:t>
      </w:r>
    </w:p>
    <w:p>
      <w:pPr>
        <w:pStyle w:val="ListBullet"/>
        <w:spacing w:after="60" w:line="276" w:lineRule="auto"/>
      </w:pPr>
      <w:r>
        <w:rPr>
          <w:b/>
          <w:color w:val="1E3A8A"/>
          <w:sz w:val="20"/>
        </w:rPr>
        <w:t xml:space="preserve">Objective 3: </w:t>
      </w:r>
      <w:r>
        <w:rPr>
          <w:sz w:val="20"/>
        </w:rPr>
        <w:t>Investigate the mathematical relationships and correlations between shipment distance, order quantity, freight mode, and transportation cost.</w:t>
      </w:r>
    </w:p>
    <w:p>
      <w:pPr>
        <w:pStyle w:val="ListBullet"/>
        <w:spacing w:after="60" w:line="276" w:lineRule="auto"/>
      </w:pPr>
      <w:r>
        <w:rPr>
          <w:b/>
          <w:color w:val="1E3A8A"/>
          <w:sz w:val="20"/>
        </w:rPr>
        <w:t xml:space="preserve">Objective 4: </w:t>
      </w:r>
      <w:r>
        <w:rPr>
          <w:sz w:val="20"/>
        </w:rPr>
        <w:t>Diagnose localized failure points across regional destination markets and fulfillment origin hubs.</w:t>
      </w:r>
    </w:p>
    <w:p>
      <w:pPr>
        <w:pStyle w:val="ListBullet"/>
        <w:spacing w:after="60" w:line="276" w:lineRule="auto"/>
      </w:pPr>
      <w:r>
        <w:rPr>
          <w:b/>
          <w:color w:val="1E3A8A"/>
          <w:sz w:val="20"/>
        </w:rPr>
        <w:t xml:space="preserve">Objective 5: </w:t>
      </w:r>
      <w:r>
        <w:rPr>
          <w:sz w:val="20"/>
        </w:rPr>
        <w:t>Create high-resolution, publication-quality visualizations that convey complex operational phenomena to executive stakeholders.</w:t>
      </w:r>
    </w:p>
    <w:p>
      <w:pPr>
        <w:pStyle w:val="ListBullet"/>
        <w:spacing w:after="60" w:line="276" w:lineRule="auto"/>
      </w:pPr>
      <w:r>
        <w:rPr>
          <w:b/>
          <w:color w:val="1E3A8A"/>
          <w:sz w:val="20"/>
        </w:rPr>
        <w:t xml:space="preserve">Objective 6: </w:t>
      </w:r>
      <w:r>
        <w:rPr>
          <w:sz w:val="20"/>
        </w:rPr>
        <w:t>Formulate a structured Bottleneck Analysis Matrix and actionable, prioritized recommendations.</w:t>
      </w:r>
    </w:p>
    <w:p>
      <w:pPr>
        <w:pStyle w:val="Heading1"/>
        <w:keepNext/>
        <w:spacing w:before="360" w:after="120"/>
      </w:pPr>
      <w:r>
        <w:rPr>
          <w:rFonts w:ascii="Segoe UI Semibold" w:hAnsi="Segoe UI Semibold"/>
          <w:b/>
          <w:color w:val="1E3A8A"/>
          <w:sz w:val="32"/>
        </w:rPr>
        <w:t>4. Business Scenario</w:t>
      </w:r>
    </w:p>
    <w:p>
      <w:pPr>
        <w:spacing w:after="120" w:line="276" w:lineRule="auto"/>
      </w:pPr>
      <w:r>
        <w:rPr>
          <w:rFonts w:ascii="Segoe UI" w:hAnsi="Segoe UI"/>
          <w:i w:val="0"/>
          <w:sz w:val="20"/>
        </w:rPr>
        <w:t>The analysis centers on GlobalLogix Solutions, a multi-regional third-party logistics (3PL) and fulfillment enterprise providing domestic shipping and supply chain services to four commercial segments: Consumer, Corporate, Home Office, and Small Business across five fulfillment centers (WH-Central, WH-East, WH-North, WH-South, WH-West).</w:t>
      </w:r>
    </w:p>
    <w:p>
      <w:pPr>
        <w:spacing w:after="120" w:line="276" w:lineRule="auto"/>
      </w:pPr>
      <w:r>
        <w:rPr>
          <w:rFonts w:ascii="Segoe UI" w:hAnsi="Segoe UI"/>
          <w:i w:val="0"/>
          <w:sz w:val="20"/>
        </w:rPr>
        <w:t>GlobalLogix offers four distinct shipping service levels: Same-Day Courier (1-day SLA), Express Air (2-day SLA), Standard Delivery (5-day SLA), and Ground Freight (7-day SLA). Despite strong top-line sales growth in 2024, leadership observed surging customer complaints regarding late deliveries and severe margin drag across low-value product lines. Ajay M was commissioned to perform a diagnostic audit across all operational touchpoints.</w:t>
      </w:r>
    </w:p>
    <w:p>
      <w:pPr>
        <w:pStyle w:val="Heading1"/>
        <w:keepNext/>
        <w:spacing w:before="360" w:after="120"/>
      </w:pPr>
      <w:r>
        <w:rPr>
          <w:rFonts w:ascii="Segoe UI Semibold" w:hAnsi="Segoe UI Semibold"/>
          <w:b/>
          <w:color w:val="1E3A8A"/>
          <w:sz w:val="32"/>
        </w:rPr>
        <w:t>5. Business Questions</w:t>
      </w:r>
    </w:p>
    <w:p>
      <w:pPr>
        <w:pStyle w:val="ListBullet"/>
        <w:spacing w:after="60" w:line="276" w:lineRule="auto"/>
      </w:pPr>
      <w:r>
        <w:rPr>
          <w:b/>
          <w:color w:val="1E3A8A"/>
          <w:sz w:val="20"/>
        </w:rPr>
        <w:t xml:space="preserve">BQ1 (Distribution Properties): </w:t>
      </w:r>
      <w:r>
        <w:rPr>
          <w:sz w:val="20"/>
        </w:rPr>
        <w:t>What are the central tendencies, dispersion spreads, and skewness characteristics of delivery transit times and transportation costs across the entire logistics network?</w:t>
      </w:r>
    </w:p>
    <w:p>
      <w:pPr>
        <w:pStyle w:val="ListBullet"/>
        <w:spacing w:after="60" w:line="276" w:lineRule="auto"/>
      </w:pPr>
      <w:r>
        <w:rPr>
          <w:b/>
          <w:color w:val="1E3A8A"/>
          <w:sz w:val="20"/>
        </w:rPr>
        <w:t xml:space="preserve">BQ2 (Distance &amp; Cost Elasticity): </w:t>
      </w:r>
      <w:r>
        <w:rPr>
          <w:sz w:val="20"/>
        </w:rPr>
        <w:t>To what extent does transit distance determine shipping costs and delivery latency, and does this relationship vary across carrier tiers?</w:t>
      </w:r>
    </w:p>
    <w:p>
      <w:pPr>
        <w:pStyle w:val="ListBullet"/>
        <w:spacing w:after="60" w:line="276" w:lineRule="auto"/>
      </w:pPr>
      <w:r>
        <w:rPr>
          <w:b/>
          <w:color w:val="1E3A8A"/>
          <w:sz w:val="20"/>
        </w:rPr>
        <w:t xml:space="preserve">BQ3 (Modal SLA Compliance): </w:t>
      </w:r>
      <w:r>
        <w:rPr>
          <w:sz w:val="20"/>
        </w:rPr>
        <w:t>How reliably are contractual delivery timelines met across different shipping tiers, and do express services justify their price premiums?</w:t>
      </w:r>
    </w:p>
    <w:p>
      <w:pPr>
        <w:pStyle w:val="ListBullet"/>
        <w:spacing w:after="60" w:line="276" w:lineRule="auto"/>
      </w:pPr>
      <w:r>
        <w:rPr>
          <w:b/>
          <w:color w:val="1E3A8A"/>
          <w:sz w:val="20"/>
        </w:rPr>
        <w:t xml:space="preserve">BQ4 (Regional Fulfillment Disparities): </w:t>
      </w:r>
      <w:r>
        <w:rPr>
          <w:sz w:val="20"/>
        </w:rPr>
        <w:t>Which geographic territories demonstrate the poorest fulfillment reliability, highest delay rates, and lowest customer satisfaction?</w:t>
      </w:r>
    </w:p>
    <w:p>
      <w:pPr>
        <w:pStyle w:val="ListBullet"/>
        <w:spacing w:after="60" w:line="276" w:lineRule="auto"/>
      </w:pPr>
      <w:r>
        <w:rPr>
          <w:b/>
          <w:color w:val="1E3A8A"/>
          <w:sz w:val="20"/>
        </w:rPr>
        <w:t xml:space="preserve">BQ5 (Product-Level Freight Burden): </w:t>
      </w:r>
      <w:r>
        <w:rPr>
          <w:sz w:val="20"/>
        </w:rPr>
        <w:t>Which product categories experience disproportionate logistics costs relative to gross sales revenue?</w:t>
      </w:r>
    </w:p>
    <w:p>
      <w:pPr>
        <w:pStyle w:val="ListBullet"/>
        <w:spacing w:after="60" w:line="276" w:lineRule="auto"/>
      </w:pPr>
      <w:r>
        <w:rPr>
          <w:b/>
          <w:color w:val="1E3A8A"/>
          <w:sz w:val="20"/>
        </w:rPr>
        <w:t xml:space="preserve">BQ6 (Multivariate Interactions): </w:t>
      </w:r>
      <w:r>
        <w:rPr>
          <w:sz w:val="20"/>
        </w:rPr>
        <w:t>How do origin warehouse dispatch hubs interact with destination regions to create transit delays?</w:t>
      </w:r>
    </w:p>
    <w:p>
      <w:pPr>
        <w:pStyle w:val="ListBullet"/>
        <w:spacing w:after="60" w:line="276" w:lineRule="auto"/>
      </w:pPr>
      <w:r>
        <w:rPr>
          <w:b/>
          <w:color w:val="1E3A8A"/>
          <w:sz w:val="20"/>
        </w:rPr>
        <w:t xml:space="preserve">BQ7 (Outlier &amp; Anomaly Analysis): </w:t>
      </w:r>
      <w:r>
        <w:rPr>
          <w:sz w:val="20"/>
        </w:rPr>
        <w:t>What operational anomalies exist in shipment distances, processing days, or expedited charges, and what are their systemic causes?</w:t>
      </w:r>
    </w:p>
    <w:p>
      <w:pPr>
        <w:pStyle w:val="ListBullet"/>
        <w:spacing w:after="60" w:line="276" w:lineRule="auto"/>
      </w:pPr>
      <w:r>
        <w:rPr>
          <w:b/>
          <w:color w:val="1E3A8A"/>
          <w:sz w:val="20"/>
        </w:rPr>
        <w:t xml:space="preserve">BQ8 (Optimization Strategy): </w:t>
      </w:r>
      <w:r>
        <w:rPr>
          <w:sz w:val="20"/>
        </w:rPr>
        <w:t>What concrete, prioritized operational interventions should leadership execute to enhance on-time performance and protect profitability?</w:t>
      </w:r>
    </w:p>
    <w:p>
      <w:pPr>
        <w:pStyle w:val="Heading1"/>
        <w:keepNext/>
        <w:spacing w:before="360" w:after="120"/>
      </w:pPr>
      <w:r>
        <w:rPr>
          <w:rFonts w:ascii="Segoe UI Semibold" w:hAnsi="Segoe UI Semibold"/>
          <w:b/>
          <w:color w:val="1E3A8A"/>
          <w:sz w:val="32"/>
        </w:rPr>
        <w:t>6. Dataset Description</w:t>
      </w:r>
    </w:p>
    <w:p>
      <w:pPr>
        <w:spacing w:after="120" w:line="276" w:lineRule="auto"/>
      </w:pPr>
      <w:r>
        <w:rPr>
          <w:rFonts w:ascii="Segoe UI" w:hAnsi="Segoe UI"/>
          <w:i w:val="0"/>
          <w:sz w:val="20"/>
        </w:rPr>
        <w:t>The dataset utilized in this analysis is the clean, validated enterprise dataset generated from the Week 2 data preprocessing pipeline (logistics_cleaned.csv). The dataset contains 1,250 verified shipment transactions spanning from January 1, 2024, to June 30, 2024, structured across 42 feature columns.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80" w:type="dxa"/>
              <w:bottom w:w="80" w:type="dxa"/>
              <w:left w:w="90" w:type="dxa"/>
              <w:right w:w="90" w:type="dxa"/>
            </w:tcMar>
          </w:tcPr>
          <w:p>
            <w:pPr>
              <w:jc w:val="center"/>
            </w:pPr>
            <w:r>
              <w:rPr>
                <w:b/>
                <w:color w:val="FFFFFF"/>
                <w:sz w:val="18"/>
              </w:rPr>
              <w:t>Variable Name</w:t>
            </w:r>
          </w:p>
        </w:tc>
        <w:tc>
          <w:tcPr>
            <w:tcW w:type="dxa" w:w="1440"/>
            <w:shd w:fill="1E3A8A"/>
            <w:tcMar>
              <w:top w:w="80" w:type="dxa"/>
              <w:bottom w:w="80" w:type="dxa"/>
              <w:left w:w="90" w:type="dxa"/>
              <w:right w:w="90" w:type="dxa"/>
            </w:tcMar>
          </w:tcPr>
          <w:p>
            <w:pPr>
              <w:jc w:val="center"/>
            </w:pPr>
            <w:r>
              <w:rPr>
                <w:b/>
                <w:color w:val="FFFFFF"/>
                <w:sz w:val="18"/>
              </w:rPr>
              <w:t>Data Type</w:t>
            </w:r>
          </w:p>
        </w:tc>
        <w:tc>
          <w:tcPr>
            <w:tcW w:type="dxa" w:w="3312"/>
            <w:shd w:fill="1E3A8A"/>
            <w:tcMar>
              <w:top w:w="80" w:type="dxa"/>
              <w:bottom w:w="80" w:type="dxa"/>
              <w:left w:w="90" w:type="dxa"/>
              <w:right w:w="90" w:type="dxa"/>
            </w:tcMar>
          </w:tcPr>
          <w:p>
            <w:pPr>
              <w:jc w:val="center"/>
            </w:pPr>
            <w:r>
              <w:rPr>
                <w:b/>
                <w:color w:val="FFFFFF"/>
                <w:sz w:val="18"/>
              </w:rPr>
              <w:t>Operational Definition</w:t>
            </w:r>
          </w:p>
        </w:tc>
        <w:tc>
          <w:tcPr>
            <w:tcW w:type="dxa" w:w="2448"/>
            <w:shd w:fill="1E3A8A"/>
            <w:tcMar>
              <w:top w:w="80" w:type="dxa"/>
              <w:bottom w:w="80" w:type="dxa"/>
              <w:left w:w="90" w:type="dxa"/>
              <w:right w:w="90" w:type="dxa"/>
            </w:tcMar>
          </w:tcPr>
          <w:p>
            <w:pPr>
              <w:jc w:val="center"/>
            </w:pPr>
            <w:r>
              <w:rPr>
                <w:b/>
                <w:color w:val="FFFFFF"/>
                <w:sz w:val="18"/>
              </w:rPr>
              <w:t>Sample Values / Range</w:t>
            </w:r>
          </w:p>
        </w:tc>
      </w:tr>
      <w:tr>
        <w:tc>
          <w:tcPr>
            <w:tcW w:type="dxa" w:w="2160"/>
            <w:shd w:fill="FFFFFF"/>
            <w:tcMar>
              <w:top w:w="60" w:type="dxa"/>
              <w:bottom w:w="60" w:type="dxa"/>
              <w:left w:w="80" w:type="dxa"/>
              <w:right w:w="80" w:type="dxa"/>
            </w:tcMar>
          </w:tcPr>
          <w:p>
            <w:pPr>
              <w:jc w:val="left"/>
            </w:pPr>
            <w:r>
              <w:rPr>
                <w:color w:val="0F172A"/>
                <w:sz w:val="17"/>
              </w:rPr>
              <w:t>Order_ID</w:t>
            </w:r>
          </w:p>
        </w:tc>
        <w:tc>
          <w:tcPr>
            <w:tcW w:type="dxa" w:w="1440"/>
            <w:shd w:fill="FFFFFF"/>
            <w:tcMar>
              <w:top w:w="60" w:type="dxa"/>
              <w:bottom w:w="60" w:type="dxa"/>
              <w:left w:w="80" w:type="dxa"/>
              <w:right w:w="80" w:type="dxa"/>
            </w:tcMar>
          </w:tcPr>
          <w:p>
            <w:pPr>
              <w:jc w:val="center"/>
            </w:pPr>
            <w:r>
              <w:rPr>
                <w:color w:val="0F172A"/>
                <w:sz w:val="17"/>
              </w:rPr>
              <w:t>String</w:t>
            </w:r>
          </w:p>
        </w:tc>
        <w:tc>
          <w:tcPr>
            <w:tcW w:type="dxa" w:w="3312"/>
            <w:shd w:fill="FFFFFF"/>
            <w:tcMar>
              <w:top w:w="60" w:type="dxa"/>
              <w:bottom w:w="60" w:type="dxa"/>
              <w:left w:w="80" w:type="dxa"/>
              <w:right w:w="80" w:type="dxa"/>
            </w:tcMar>
          </w:tcPr>
          <w:p>
            <w:pPr>
              <w:jc w:val="center"/>
            </w:pPr>
            <w:r>
              <w:rPr>
                <w:color w:val="0F172A"/>
                <w:sz w:val="17"/>
              </w:rPr>
              <w:t>Unique shipment transaction identifier</w:t>
            </w:r>
          </w:p>
        </w:tc>
        <w:tc>
          <w:tcPr>
            <w:tcW w:type="dxa" w:w="2448"/>
            <w:shd w:fill="FFFFFF"/>
            <w:tcMar>
              <w:top w:w="60" w:type="dxa"/>
              <w:bottom w:w="60" w:type="dxa"/>
              <w:left w:w="80" w:type="dxa"/>
              <w:right w:w="80" w:type="dxa"/>
            </w:tcMar>
          </w:tcPr>
          <w:p>
            <w:pPr>
              <w:jc w:val="center"/>
            </w:pPr>
            <w:r>
              <w:rPr>
                <w:color w:val="0F172A"/>
                <w:sz w:val="17"/>
              </w:rPr>
              <w:t>ORD-2024-1001 to ORD-2024-2250</w:t>
            </w:r>
          </w:p>
        </w:tc>
      </w:tr>
      <w:tr>
        <w:tc>
          <w:tcPr>
            <w:tcW w:type="dxa" w:w="2160"/>
            <w:shd w:fill="F1F5F9"/>
            <w:tcMar>
              <w:top w:w="60" w:type="dxa"/>
              <w:bottom w:w="60" w:type="dxa"/>
              <w:left w:w="80" w:type="dxa"/>
              <w:right w:w="80" w:type="dxa"/>
            </w:tcMar>
          </w:tcPr>
          <w:p>
            <w:pPr>
              <w:jc w:val="left"/>
            </w:pPr>
            <w:r>
              <w:rPr>
                <w:color w:val="0F172A"/>
                <w:sz w:val="17"/>
              </w:rPr>
              <w:t>Order_Date</w:t>
            </w:r>
          </w:p>
        </w:tc>
        <w:tc>
          <w:tcPr>
            <w:tcW w:type="dxa" w:w="1440"/>
            <w:shd w:fill="F1F5F9"/>
            <w:tcMar>
              <w:top w:w="60" w:type="dxa"/>
              <w:bottom w:w="60" w:type="dxa"/>
              <w:left w:w="80" w:type="dxa"/>
              <w:right w:w="80" w:type="dxa"/>
            </w:tcMar>
          </w:tcPr>
          <w:p>
            <w:pPr>
              <w:jc w:val="center"/>
            </w:pPr>
            <w:r>
              <w:rPr>
                <w:color w:val="0F172A"/>
                <w:sz w:val="17"/>
              </w:rPr>
              <w:t>Datetime</w:t>
            </w:r>
          </w:p>
        </w:tc>
        <w:tc>
          <w:tcPr>
            <w:tcW w:type="dxa" w:w="3312"/>
            <w:shd w:fill="F1F5F9"/>
            <w:tcMar>
              <w:top w:w="60" w:type="dxa"/>
              <w:bottom w:w="60" w:type="dxa"/>
              <w:left w:w="80" w:type="dxa"/>
              <w:right w:w="80" w:type="dxa"/>
            </w:tcMar>
          </w:tcPr>
          <w:p>
            <w:pPr>
              <w:jc w:val="center"/>
            </w:pPr>
            <w:r>
              <w:rPr>
                <w:color w:val="0F172A"/>
                <w:sz w:val="17"/>
              </w:rPr>
              <w:t>Timestamp of customer order placement</w:t>
            </w:r>
          </w:p>
        </w:tc>
        <w:tc>
          <w:tcPr>
            <w:tcW w:type="dxa" w:w="2448"/>
            <w:shd w:fill="F1F5F9"/>
            <w:tcMar>
              <w:top w:w="60" w:type="dxa"/>
              <w:bottom w:w="60" w:type="dxa"/>
              <w:left w:w="80" w:type="dxa"/>
              <w:right w:w="80" w:type="dxa"/>
            </w:tcMar>
          </w:tcPr>
          <w:p>
            <w:pPr>
              <w:jc w:val="center"/>
            </w:pPr>
            <w:r>
              <w:rPr>
                <w:color w:val="0F172A"/>
                <w:sz w:val="17"/>
              </w:rPr>
              <w:t>2024-01-01 to 2024-06-30</w:t>
            </w:r>
          </w:p>
        </w:tc>
      </w:tr>
      <w:tr>
        <w:tc>
          <w:tcPr>
            <w:tcW w:type="dxa" w:w="2160"/>
            <w:shd w:fill="FFFFFF"/>
            <w:tcMar>
              <w:top w:w="60" w:type="dxa"/>
              <w:bottom w:w="60" w:type="dxa"/>
              <w:left w:w="80" w:type="dxa"/>
              <w:right w:w="80" w:type="dxa"/>
            </w:tcMar>
          </w:tcPr>
          <w:p>
            <w:pPr>
              <w:jc w:val="left"/>
            </w:pPr>
            <w:r>
              <w:rPr>
                <w:color w:val="0F172A"/>
                <w:sz w:val="17"/>
              </w:rPr>
              <w:t>Customer_Segment</w:t>
            </w:r>
          </w:p>
        </w:tc>
        <w:tc>
          <w:tcPr>
            <w:tcW w:type="dxa" w:w="1440"/>
            <w:shd w:fill="FFFFFF"/>
            <w:tcMar>
              <w:top w:w="60" w:type="dxa"/>
              <w:bottom w:w="60" w:type="dxa"/>
              <w:left w:w="80" w:type="dxa"/>
              <w:right w:w="80" w:type="dxa"/>
            </w:tcMar>
          </w:tcPr>
          <w:p>
            <w:pPr>
              <w:jc w:val="center"/>
            </w:pPr>
            <w:r>
              <w:rPr>
                <w:color w:val="0F172A"/>
                <w:sz w:val="17"/>
              </w:rPr>
              <w:t>Categorical</w:t>
            </w:r>
          </w:p>
        </w:tc>
        <w:tc>
          <w:tcPr>
            <w:tcW w:type="dxa" w:w="3312"/>
            <w:shd w:fill="FFFFFF"/>
            <w:tcMar>
              <w:top w:w="60" w:type="dxa"/>
              <w:bottom w:w="60" w:type="dxa"/>
              <w:left w:w="80" w:type="dxa"/>
              <w:right w:w="80" w:type="dxa"/>
            </w:tcMar>
          </w:tcPr>
          <w:p>
            <w:pPr>
              <w:jc w:val="center"/>
            </w:pPr>
            <w:r>
              <w:rPr>
                <w:color w:val="0F172A"/>
                <w:sz w:val="17"/>
              </w:rPr>
              <w:t>Commercial purchasing tier</w:t>
            </w:r>
          </w:p>
        </w:tc>
        <w:tc>
          <w:tcPr>
            <w:tcW w:type="dxa" w:w="2448"/>
            <w:shd w:fill="FFFFFF"/>
            <w:tcMar>
              <w:top w:w="60" w:type="dxa"/>
              <w:bottom w:w="60" w:type="dxa"/>
              <w:left w:w="80" w:type="dxa"/>
              <w:right w:w="80" w:type="dxa"/>
            </w:tcMar>
          </w:tcPr>
          <w:p>
            <w:pPr>
              <w:jc w:val="center"/>
            </w:pPr>
            <w:r>
              <w:rPr>
                <w:color w:val="0F172A"/>
                <w:sz w:val="17"/>
              </w:rPr>
              <w:t>Consumer, Corporate, Home Office, Small Business</w:t>
            </w:r>
          </w:p>
        </w:tc>
      </w:tr>
      <w:tr>
        <w:tc>
          <w:tcPr>
            <w:tcW w:type="dxa" w:w="2160"/>
            <w:shd w:fill="F1F5F9"/>
            <w:tcMar>
              <w:top w:w="60" w:type="dxa"/>
              <w:bottom w:w="60" w:type="dxa"/>
              <w:left w:w="80" w:type="dxa"/>
              <w:right w:w="80" w:type="dxa"/>
            </w:tcMar>
          </w:tcPr>
          <w:p>
            <w:pPr>
              <w:jc w:val="left"/>
            </w:pPr>
            <w:r>
              <w:rPr>
                <w:color w:val="0F172A"/>
                <w:sz w:val="17"/>
              </w:rPr>
              <w:t>Product_Category</w:t>
            </w:r>
          </w:p>
        </w:tc>
        <w:tc>
          <w:tcPr>
            <w:tcW w:type="dxa" w:w="1440"/>
            <w:shd w:fill="F1F5F9"/>
            <w:tcMar>
              <w:top w:w="60" w:type="dxa"/>
              <w:bottom w:w="60" w:type="dxa"/>
              <w:left w:w="80" w:type="dxa"/>
              <w:right w:w="80" w:type="dxa"/>
            </w:tcMar>
          </w:tcPr>
          <w:p>
            <w:pPr>
              <w:jc w:val="center"/>
            </w:pPr>
            <w:r>
              <w:rPr>
                <w:color w:val="0F172A"/>
                <w:sz w:val="17"/>
              </w:rPr>
              <w:t>Categorical</w:t>
            </w:r>
          </w:p>
        </w:tc>
        <w:tc>
          <w:tcPr>
            <w:tcW w:type="dxa" w:w="3312"/>
            <w:shd w:fill="F1F5F9"/>
            <w:tcMar>
              <w:top w:w="60" w:type="dxa"/>
              <w:bottom w:w="60" w:type="dxa"/>
              <w:left w:w="80" w:type="dxa"/>
              <w:right w:w="80" w:type="dxa"/>
            </w:tcMar>
          </w:tcPr>
          <w:p>
            <w:pPr>
              <w:jc w:val="center"/>
            </w:pPr>
            <w:r>
              <w:rPr>
                <w:color w:val="0F172A"/>
                <w:sz w:val="17"/>
              </w:rPr>
              <w:t>Classification of transacted inventory</w:t>
            </w:r>
          </w:p>
        </w:tc>
        <w:tc>
          <w:tcPr>
            <w:tcW w:type="dxa" w:w="2448"/>
            <w:shd w:fill="F1F5F9"/>
            <w:tcMar>
              <w:top w:w="60" w:type="dxa"/>
              <w:bottom w:w="60" w:type="dxa"/>
              <w:left w:w="80" w:type="dxa"/>
              <w:right w:w="80" w:type="dxa"/>
            </w:tcMar>
          </w:tcPr>
          <w:p>
            <w:pPr>
              <w:jc w:val="center"/>
            </w:pPr>
            <w:r>
              <w:rPr>
                <w:color w:val="0F172A"/>
                <w:sz w:val="17"/>
              </w:rPr>
              <w:t>Apparel, Electronics, Healthcare, Industrial, Office</w:t>
            </w:r>
          </w:p>
        </w:tc>
      </w:tr>
      <w:tr>
        <w:tc>
          <w:tcPr>
            <w:tcW w:type="dxa" w:w="2160"/>
            <w:shd w:fill="FFFFFF"/>
            <w:tcMar>
              <w:top w:w="60" w:type="dxa"/>
              <w:bottom w:w="60" w:type="dxa"/>
              <w:left w:w="80" w:type="dxa"/>
              <w:right w:w="80" w:type="dxa"/>
            </w:tcMar>
          </w:tcPr>
          <w:p>
            <w:pPr>
              <w:jc w:val="left"/>
            </w:pPr>
            <w:r>
              <w:rPr>
                <w:color w:val="0F172A"/>
                <w:sz w:val="17"/>
              </w:rPr>
              <w:t>Quantity</w:t>
            </w:r>
          </w:p>
        </w:tc>
        <w:tc>
          <w:tcPr>
            <w:tcW w:type="dxa" w:w="1440"/>
            <w:shd w:fill="FFFFFF"/>
            <w:tcMar>
              <w:top w:w="60" w:type="dxa"/>
              <w:bottom w:w="60" w:type="dxa"/>
              <w:left w:w="80" w:type="dxa"/>
              <w:right w:w="80" w:type="dxa"/>
            </w:tcMar>
          </w:tcPr>
          <w:p>
            <w:pPr>
              <w:jc w:val="center"/>
            </w:pPr>
            <w:r>
              <w:rPr>
                <w:color w:val="0F172A"/>
                <w:sz w:val="17"/>
              </w:rPr>
              <w:t>Integer</w:t>
            </w:r>
          </w:p>
        </w:tc>
        <w:tc>
          <w:tcPr>
            <w:tcW w:type="dxa" w:w="3312"/>
            <w:shd w:fill="FFFFFF"/>
            <w:tcMar>
              <w:top w:w="60" w:type="dxa"/>
              <w:bottom w:w="60" w:type="dxa"/>
              <w:left w:w="80" w:type="dxa"/>
              <w:right w:w="80" w:type="dxa"/>
            </w:tcMar>
          </w:tcPr>
          <w:p>
            <w:pPr>
              <w:jc w:val="center"/>
            </w:pPr>
            <w:r>
              <w:rPr>
                <w:color w:val="0F172A"/>
                <w:sz w:val="17"/>
              </w:rPr>
              <w:t>Total units transacted within shipment</w:t>
            </w:r>
          </w:p>
        </w:tc>
        <w:tc>
          <w:tcPr>
            <w:tcW w:type="dxa" w:w="2448"/>
            <w:shd w:fill="FFFFFF"/>
            <w:tcMar>
              <w:top w:w="60" w:type="dxa"/>
              <w:bottom w:w="60" w:type="dxa"/>
              <w:left w:w="80" w:type="dxa"/>
              <w:right w:w="80" w:type="dxa"/>
            </w:tcMar>
          </w:tcPr>
          <w:p>
            <w:pPr>
              <w:jc w:val="center"/>
            </w:pPr>
            <w:r>
              <w:rPr>
                <w:color w:val="0F172A"/>
                <w:sz w:val="17"/>
              </w:rPr>
              <w:t>1 to 50 units (Mean: 3.45)</w:t>
            </w:r>
          </w:p>
        </w:tc>
      </w:tr>
      <w:tr>
        <w:tc>
          <w:tcPr>
            <w:tcW w:type="dxa" w:w="2160"/>
            <w:shd w:fill="F1F5F9"/>
            <w:tcMar>
              <w:top w:w="60" w:type="dxa"/>
              <w:bottom w:w="60" w:type="dxa"/>
              <w:left w:w="80" w:type="dxa"/>
              <w:right w:w="80" w:type="dxa"/>
            </w:tcMar>
          </w:tcPr>
          <w:p>
            <w:pPr>
              <w:jc w:val="left"/>
            </w:pPr>
            <w:r>
              <w:rPr>
                <w:color w:val="0F172A"/>
                <w:sz w:val="17"/>
              </w:rPr>
              <w:t>Sales_USD</w:t>
            </w:r>
          </w:p>
        </w:tc>
        <w:tc>
          <w:tcPr>
            <w:tcW w:type="dxa" w:w="1440"/>
            <w:shd w:fill="F1F5F9"/>
            <w:tcMar>
              <w:top w:w="60" w:type="dxa"/>
              <w:bottom w:w="60" w:type="dxa"/>
              <w:left w:w="80" w:type="dxa"/>
              <w:right w:w="80" w:type="dxa"/>
            </w:tcMar>
          </w:tcPr>
          <w:p>
            <w:pPr>
              <w:jc w:val="center"/>
            </w:pPr>
            <w:r>
              <w:rPr>
                <w:color w:val="0F172A"/>
                <w:sz w:val="17"/>
              </w:rPr>
              <w:t>Float</w:t>
            </w:r>
          </w:p>
        </w:tc>
        <w:tc>
          <w:tcPr>
            <w:tcW w:type="dxa" w:w="3312"/>
            <w:shd w:fill="F1F5F9"/>
            <w:tcMar>
              <w:top w:w="60" w:type="dxa"/>
              <w:bottom w:w="60" w:type="dxa"/>
              <w:left w:w="80" w:type="dxa"/>
              <w:right w:w="80" w:type="dxa"/>
            </w:tcMar>
          </w:tcPr>
          <w:p>
            <w:pPr>
              <w:jc w:val="center"/>
            </w:pPr>
            <w:r>
              <w:rPr>
                <w:color w:val="0F172A"/>
                <w:sz w:val="17"/>
              </w:rPr>
              <w:t>Gross commercial revenue value of order</w:t>
            </w:r>
          </w:p>
        </w:tc>
        <w:tc>
          <w:tcPr>
            <w:tcW w:type="dxa" w:w="2448"/>
            <w:shd w:fill="F1F5F9"/>
            <w:tcMar>
              <w:top w:w="60" w:type="dxa"/>
              <w:bottom w:w="60" w:type="dxa"/>
              <w:left w:w="80" w:type="dxa"/>
              <w:right w:w="80" w:type="dxa"/>
            </w:tcMar>
          </w:tcPr>
          <w:p>
            <w:pPr>
              <w:jc w:val="center"/>
            </w:pPr>
            <w:r>
              <w:rPr>
                <w:color w:val="0F172A"/>
                <w:sz w:val="17"/>
              </w:rPr>
              <w:t>$14.49 to $2,165.61 (Mean: $615.44)</w:t>
            </w:r>
          </w:p>
        </w:tc>
      </w:tr>
      <w:tr>
        <w:tc>
          <w:tcPr>
            <w:tcW w:type="dxa" w:w="2160"/>
            <w:shd w:fill="FFFFFF"/>
            <w:tcMar>
              <w:top w:w="60" w:type="dxa"/>
              <w:bottom w:w="60" w:type="dxa"/>
              <w:left w:w="80" w:type="dxa"/>
              <w:right w:w="80" w:type="dxa"/>
            </w:tcMar>
          </w:tcPr>
          <w:p>
            <w:pPr>
              <w:jc w:val="left"/>
            </w:pPr>
            <w:r>
              <w:rPr>
                <w:color w:val="0F172A"/>
                <w:sz w:val="17"/>
              </w:rPr>
              <w:t>Shipping_Cost_USD</w:t>
            </w:r>
          </w:p>
        </w:tc>
        <w:tc>
          <w:tcPr>
            <w:tcW w:type="dxa" w:w="1440"/>
            <w:shd w:fill="FFFFFF"/>
            <w:tcMar>
              <w:top w:w="60" w:type="dxa"/>
              <w:bottom w:w="60" w:type="dxa"/>
              <w:left w:w="80" w:type="dxa"/>
              <w:right w:w="80" w:type="dxa"/>
            </w:tcMar>
          </w:tcPr>
          <w:p>
            <w:pPr>
              <w:jc w:val="center"/>
            </w:pPr>
            <w:r>
              <w:rPr>
                <w:color w:val="0F172A"/>
                <w:sz w:val="17"/>
              </w:rPr>
              <w:t>Float</w:t>
            </w:r>
          </w:p>
        </w:tc>
        <w:tc>
          <w:tcPr>
            <w:tcW w:type="dxa" w:w="3312"/>
            <w:shd w:fill="FFFFFF"/>
            <w:tcMar>
              <w:top w:w="60" w:type="dxa"/>
              <w:bottom w:w="60" w:type="dxa"/>
              <w:left w:w="80" w:type="dxa"/>
              <w:right w:w="80" w:type="dxa"/>
            </w:tcMar>
          </w:tcPr>
          <w:p>
            <w:pPr>
              <w:jc w:val="center"/>
            </w:pPr>
            <w:r>
              <w:rPr>
                <w:color w:val="0F172A"/>
                <w:sz w:val="17"/>
              </w:rPr>
              <w:t>Total carrier freight and handling spend</w:t>
            </w:r>
          </w:p>
        </w:tc>
        <w:tc>
          <w:tcPr>
            <w:tcW w:type="dxa" w:w="2448"/>
            <w:shd w:fill="FFFFFF"/>
            <w:tcMar>
              <w:top w:w="60" w:type="dxa"/>
              <w:bottom w:w="60" w:type="dxa"/>
              <w:left w:w="80" w:type="dxa"/>
              <w:right w:w="80" w:type="dxa"/>
            </w:tcMar>
          </w:tcPr>
          <w:p>
            <w:pPr>
              <w:jc w:val="center"/>
            </w:pPr>
            <w:r>
              <w:rPr>
                <w:color w:val="0F172A"/>
                <w:sz w:val="17"/>
              </w:rPr>
              <w:t>$8.00 to $233.00 (Mean: $91.85)</w:t>
            </w:r>
          </w:p>
        </w:tc>
      </w:tr>
      <w:tr>
        <w:tc>
          <w:tcPr>
            <w:tcW w:type="dxa" w:w="2160"/>
            <w:shd w:fill="F1F5F9"/>
            <w:tcMar>
              <w:top w:w="60" w:type="dxa"/>
              <w:bottom w:w="60" w:type="dxa"/>
              <w:left w:w="80" w:type="dxa"/>
              <w:right w:w="80" w:type="dxa"/>
            </w:tcMar>
          </w:tcPr>
          <w:p>
            <w:pPr>
              <w:jc w:val="left"/>
            </w:pPr>
            <w:r>
              <w:rPr>
                <w:color w:val="0F172A"/>
                <w:sz w:val="17"/>
              </w:rPr>
              <w:t>Delivery_Time_Days</w:t>
            </w:r>
          </w:p>
        </w:tc>
        <w:tc>
          <w:tcPr>
            <w:tcW w:type="dxa" w:w="1440"/>
            <w:shd w:fill="F1F5F9"/>
            <w:tcMar>
              <w:top w:w="60" w:type="dxa"/>
              <w:bottom w:w="60" w:type="dxa"/>
              <w:left w:w="80" w:type="dxa"/>
              <w:right w:w="80" w:type="dxa"/>
            </w:tcMar>
          </w:tcPr>
          <w:p>
            <w:pPr>
              <w:jc w:val="center"/>
            </w:pPr>
            <w:r>
              <w:rPr>
                <w:color w:val="0F172A"/>
                <w:sz w:val="17"/>
              </w:rPr>
              <w:t>Float</w:t>
            </w:r>
          </w:p>
        </w:tc>
        <w:tc>
          <w:tcPr>
            <w:tcW w:type="dxa" w:w="3312"/>
            <w:shd w:fill="F1F5F9"/>
            <w:tcMar>
              <w:top w:w="60" w:type="dxa"/>
              <w:bottom w:w="60" w:type="dxa"/>
              <w:left w:w="80" w:type="dxa"/>
              <w:right w:w="80" w:type="dxa"/>
            </w:tcMar>
          </w:tcPr>
          <w:p>
            <w:pPr>
              <w:jc w:val="center"/>
            </w:pPr>
            <w:r>
              <w:rPr>
                <w:color w:val="0F172A"/>
                <w:sz w:val="17"/>
              </w:rPr>
              <w:t>Actual elapsed transit time to delivery</w:t>
            </w:r>
          </w:p>
        </w:tc>
        <w:tc>
          <w:tcPr>
            <w:tcW w:type="dxa" w:w="2448"/>
            <w:shd w:fill="F1F5F9"/>
            <w:tcMar>
              <w:top w:w="60" w:type="dxa"/>
              <w:bottom w:w="60" w:type="dxa"/>
              <w:left w:w="80" w:type="dxa"/>
              <w:right w:w="80" w:type="dxa"/>
            </w:tcMar>
          </w:tcPr>
          <w:p>
            <w:pPr>
              <w:jc w:val="center"/>
            </w:pPr>
            <w:r>
              <w:rPr>
                <w:color w:val="0F172A"/>
                <w:sz w:val="17"/>
              </w:rPr>
              <w:t>0.80 to 9.80 days (Mean: 5.00 d)</w:t>
            </w:r>
          </w:p>
        </w:tc>
      </w:tr>
      <w:tr>
        <w:tc>
          <w:tcPr>
            <w:tcW w:type="dxa" w:w="2160"/>
            <w:shd w:fill="FFFFFF"/>
            <w:tcMar>
              <w:top w:w="60" w:type="dxa"/>
              <w:bottom w:w="60" w:type="dxa"/>
              <w:left w:w="80" w:type="dxa"/>
              <w:right w:w="80" w:type="dxa"/>
            </w:tcMar>
          </w:tcPr>
          <w:p>
            <w:pPr>
              <w:jc w:val="left"/>
            </w:pPr>
            <w:r>
              <w:rPr>
                <w:color w:val="0F172A"/>
                <w:sz w:val="17"/>
              </w:rPr>
              <w:t>Estimated_Delivery_Days</w:t>
            </w:r>
          </w:p>
        </w:tc>
        <w:tc>
          <w:tcPr>
            <w:tcW w:type="dxa" w:w="1440"/>
            <w:shd w:fill="FFFFFF"/>
            <w:tcMar>
              <w:top w:w="60" w:type="dxa"/>
              <w:bottom w:w="60" w:type="dxa"/>
              <w:left w:w="80" w:type="dxa"/>
              <w:right w:w="80" w:type="dxa"/>
            </w:tcMar>
          </w:tcPr>
          <w:p>
            <w:pPr>
              <w:jc w:val="center"/>
            </w:pPr>
            <w:r>
              <w:rPr>
                <w:color w:val="0F172A"/>
                <w:sz w:val="17"/>
              </w:rPr>
              <w:t>Float</w:t>
            </w:r>
          </w:p>
        </w:tc>
        <w:tc>
          <w:tcPr>
            <w:tcW w:type="dxa" w:w="3312"/>
            <w:shd w:fill="FFFFFF"/>
            <w:tcMar>
              <w:top w:w="60" w:type="dxa"/>
              <w:bottom w:w="60" w:type="dxa"/>
              <w:left w:w="80" w:type="dxa"/>
              <w:right w:w="80" w:type="dxa"/>
            </w:tcMar>
          </w:tcPr>
          <w:p>
            <w:pPr>
              <w:jc w:val="center"/>
            </w:pPr>
            <w:r>
              <w:rPr>
                <w:color w:val="0F172A"/>
                <w:sz w:val="17"/>
              </w:rPr>
              <w:t>Contractual SLA scheduled delivery timeline</w:t>
            </w:r>
          </w:p>
        </w:tc>
        <w:tc>
          <w:tcPr>
            <w:tcW w:type="dxa" w:w="2448"/>
            <w:shd w:fill="FFFFFF"/>
            <w:tcMar>
              <w:top w:w="60" w:type="dxa"/>
              <w:bottom w:w="60" w:type="dxa"/>
              <w:left w:w="80" w:type="dxa"/>
              <w:right w:w="80" w:type="dxa"/>
            </w:tcMar>
          </w:tcPr>
          <w:p>
            <w:pPr>
              <w:jc w:val="center"/>
            </w:pPr>
            <w:r>
              <w:rPr>
                <w:color w:val="0F172A"/>
                <w:sz w:val="17"/>
              </w:rPr>
              <w:t>1.0, 2.0, 5.0, 7.0 days</w:t>
            </w:r>
          </w:p>
        </w:tc>
      </w:tr>
      <w:tr>
        <w:tc>
          <w:tcPr>
            <w:tcW w:type="dxa" w:w="2160"/>
            <w:shd w:fill="F1F5F9"/>
            <w:tcMar>
              <w:top w:w="60" w:type="dxa"/>
              <w:bottom w:w="60" w:type="dxa"/>
              <w:left w:w="80" w:type="dxa"/>
              <w:right w:w="80" w:type="dxa"/>
            </w:tcMar>
          </w:tcPr>
          <w:p>
            <w:pPr>
              <w:jc w:val="left"/>
            </w:pPr>
            <w:r>
              <w:rPr>
                <w:color w:val="0F172A"/>
                <w:sz w:val="17"/>
              </w:rPr>
              <w:t>Distance_KM</w:t>
            </w:r>
          </w:p>
        </w:tc>
        <w:tc>
          <w:tcPr>
            <w:tcW w:type="dxa" w:w="1440"/>
            <w:shd w:fill="F1F5F9"/>
            <w:tcMar>
              <w:top w:w="60" w:type="dxa"/>
              <w:bottom w:w="60" w:type="dxa"/>
              <w:left w:w="80" w:type="dxa"/>
              <w:right w:w="80" w:type="dxa"/>
            </w:tcMar>
          </w:tcPr>
          <w:p>
            <w:pPr>
              <w:jc w:val="center"/>
            </w:pPr>
            <w:r>
              <w:rPr>
                <w:color w:val="0F172A"/>
                <w:sz w:val="17"/>
              </w:rPr>
              <w:t>Float</w:t>
            </w:r>
          </w:p>
        </w:tc>
        <w:tc>
          <w:tcPr>
            <w:tcW w:type="dxa" w:w="3312"/>
            <w:shd w:fill="F1F5F9"/>
            <w:tcMar>
              <w:top w:w="60" w:type="dxa"/>
              <w:bottom w:w="60" w:type="dxa"/>
              <w:left w:w="80" w:type="dxa"/>
              <w:right w:w="80" w:type="dxa"/>
            </w:tcMar>
          </w:tcPr>
          <w:p>
            <w:pPr>
              <w:jc w:val="center"/>
            </w:pPr>
            <w:r>
              <w:rPr>
                <w:color w:val="0F172A"/>
                <w:sz w:val="17"/>
              </w:rPr>
              <w:t>Calculated geographic transit distance</w:t>
            </w:r>
          </w:p>
        </w:tc>
        <w:tc>
          <w:tcPr>
            <w:tcW w:type="dxa" w:w="2448"/>
            <w:shd w:fill="F1F5F9"/>
            <w:tcMar>
              <w:top w:w="60" w:type="dxa"/>
              <w:bottom w:w="60" w:type="dxa"/>
              <w:left w:w="80" w:type="dxa"/>
              <w:right w:w="80" w:type="dxa"/>
            </w:tcMar>
          </w:tcPr>
          <w:p>
            <w:pPr>
              <w:jc w:val="center"/>
            </w:pPr>
            <w:r>
              <w:rPr>
                <w:color w:val="0F172A"/>
                <w:sz w:val="17"/>
              </w:rPr>
              <w:t>52.40 to 1,886.88 KM (Mean: 819.43 KM)</w:t>
            </w:r>
          </w:p>
        </w:tc>
      </w:tr>
      <w:tr>
        <w:tc>
          <w:tcPr>
            <w:tcW w:type="dxa" w:w="2160"/>
            <w:shd w:fill="FFFFFF"/>
            <w:tcMar>
              <w:top w:w="60" w:type="dxa"/>
              <w:bottom w:w="60" w:type="dxa"/>
              <w:left w:w="80" w:type="dxa"/>
              <w:right w:w="80" w:type="dxa"/>
            </w:tcMar>
          </w:tcPr>
          <w:p>
            <w:pPr>
              <w:jc w:val="left"/>
            </w:pPr>
            <w:r>
              <w:rPr>
                <w:color w:val="0F172A"/>
                <w:sz w:val="17"/>
              </w:rPr>
              <w:t>Warehouse_Code</w:t>
            </w:r>
          </w:p>
        </w:tc>
        <w:tc>
          <w:tcPr>
            <w:tcW w:type="dxa" w:w="1440"/>
            <w:shd w:fill="FFFFFF"/>
            <w:tcMar>
              <w:top w:w="60" w:type="dxa"/>
              <w:bottom w:w="60" w:type="dxa"/>
              <w:left w:w="80" w:type="dxa"/>
              <w:right w:w="80" w:type="dxa"/>
            </w:tcMar>
          </w:tcPr>
          <w:p>
            <w:pPr>
              <w:jc w:val="center"/>
            </w:pPr>
            <w:r>
              <w:rPr>
                <w:color w:val="0F172A"/>
                <w:sz w:val="17"/>
              </w:rPr>
              <w:t>Categorical</w:t>
            </w:r>
          </w:p>
        </w:tc>
        <w:tc>
          <w:tcPr>
            <w:tcW w:type="dxa" w:w="3312"/>
            <w:shd w:fill="FFFFFF"/>
            <w:tcMar>
              <w:top w:w="60" w:type="dxa"/>
              <w:bottom w:w="60" w:type="dxa"/>
              <w:left w:w="80" w:type="dxa"/>
              <w:right w:w="80" w:type="dxa"/>
            </w:tcMar>
          </w:tcPr>
          <w:p>
            <w:pPr>
              <w:jc w:val="center"/>
            </w:pPr>
            <w:r>
              <w:rPr>
                <w:color w:val="0F172A"/>
                <w:sz w:val="17"/>
              </w:rPr>
              <w:t>Origin fulfillment center code</w:t>
            </w:r>
          </w:p>
        </w:tc>
        <w:tc>
          <w:tcPr>
            <w:tcW w:type="dxa" w:w="2448"/>
            <w:shd w:fill="FFFFFF"/>
            <w:tcMar>
              <w:top w:w="60" w:type="dxa"/>
              <w:bottom w:w="60" w:type="dxa"/>
              <w:left w:w="80" w:type="dxa"/>
              <w:right w:w="80" w:type="dxa"/>
            </w:tcMar>
          </w:tcPr>
          <w:p>
            <w:pPr>
              <w:jc w:val="center"/>
            </w:pPr>
            <w:r>
              <w:rPr>
                <w:color w:val="0F172A"/>
                <w:sz w:val="17"/>
              </w:rPr>
              <w:t>WH-Central, WH-East, WH-North, WH-South, WH-West</w:t>
            </w:r>
          </w:p>
        </w:tc>
      </w:tr>
      <w:tr>
        <w:tc>
          <w:tcPr>
            <w:tcW w:type="dxa" w:w="2160"/>
            <w:shd w:fill="F1F5F9"/>
            <w:tcMar>
              <w:top w:w="60" w:type="dxa"/>
              <w:bottom w:w="60" w:type="dxa"/>
              <w:left w:w="80" w:type="dxa"/>
              <w:right w:w="80" w:type="dxa"/>
            </w:tcMar>
          </w:tcPr>
          <w:p>
            <w:pPr>
              <w:jc w:val="left"/>
            </w:pPr>
            <w:r>
              <w:rPr>
                <w:color w:val="0F172A"/>
                <w:sz w:val="17"/>
              </w:rPr>
              <w:t>Region</w:t>
            </w:r>
          </w:p>
        </w:tc>
        <w:tc>
          <w:tcPr>
            <w:tcW w:type="dxa" w:w="1440"/>
            <w:shd w:fill="F1F5F9"/>
            <w:tcMar>
              <w:top w:w="60" w:type="dxa"/>
              <w:bottom w:w="60" w:type="dxa"/>
              <w:left w:w="80" w:type="dxa"/>
              <w:right w:w="80" w:type="dxa"/>
            </w:tcMar>
          </w:tcPr>
          <w:p>
            <w:pPr>
              <w:jc w:val="center"/>
            </w:pPr>
            <w:r>
              <w:rPr>
                <w:color w:val="0F172A"/>
                <w:sz w:val="17"/>
              </w:rPr>
              <w:t>Categorical</w:t>
            </w:r>
          </w:p>
        </w:tc>
        <w:tc>
          <w:tcPr>
            <w:tcW w:type="dxa" w:w="3312"/>
            <w:shd w:fill="F1F5F9"/>
            <w:tcMar>
              <w:top w:w="60" w:type="dxa"/>
              <w:bottom w:w="60" w:type="dxa"/>
              <w:left w:w="80" w:type="dxa"/>
              <w:right w:w="80" w:type="dxa"/>
            </w:tcMar>
          </w:tcPr>
          <w:p>
            <w:pPr>
              <w:jc w:val="center"/>
            </w:pPr>
            <w:r>
              <w:rPr>
                <w:color w:val="0F172A"/>
                <w:sz w:val="17"/>
              </w:rPr>
              <w:t>Destination geographic territory</w:t>
            </w:r>
          </w:p>
        </w:tc>
        <w:tc>
          <w:tcPr>
            <w:tcW w:type="dxa" w:w="2448"/>
            <w:shd w:fill="F1F5F9"/>
            <w:tcMar>
              <w:top w:w="60" w:type="dxa"/>
              <w:bottom w:w="60" w:type="dxa"/>
              <w:left w:w="80" w:type="dxa"/>
              <w:right w:w="80" w:type="dxa"/>
            </w:tcMar>
          </w:tcPr>
          <w:p>
            <w:pPr>
              <w:jc w:val="center"/>
            </w:pPr>
            <w:r>
              <w:rPr>
                <w:color w:val="0F172A"/>
                <w:sz w:val="17"/>
              </w:rPr>
              <w:t>Central, East, North, South, West</w:t>
            </w:r>
          </w:p>
        </w:tc>
      </w:tr>
      <w:tr>
        <w:tc>
          <w:tcPr>
            <w:tcW w:type="dxa" w:w="2160"/>
            <w:shd w:fill="FFFFFF"/>
            <w:tcMar>
              <w:top w:w="60" w:type="dxa"/>
              <w:bottom w:w="60" w:type="dxa"/>
              <w:left w:w="80" w:type="dxa"/>
              <w:right w:w="80" w:type="dxa"/>
            </w:tcMar>
          </w:tcPr>
          <w:p>
            <w:pPr>
              <w:jc w:val="left"/>
            </w:pPr>
            <w:r>
              <w:rPr>
                <w:color w:val="0F172A"/>
                <w:sz w:val="17"/>
              </w:rPr>
              <w:t>Shipping_Mode</w:t>
            </w:r>
          </w:p>
        </w:tc>
        <w:tc>
          <w:tcPr>
            <w:tcW w:type="dxa" w:w="1440"/>
            <w:shd w:fill="FFFFFF"/>
            <w:tcMar>
              <w:top w:w="60" w:type="dxa"/>
              <w:bottom w:w="60" w:type="dxa"/>
              <w:left w:w="80" w:type="dxa"/>
              <w:right w:w="80" w:type="dxa"/>
            </w:tcMar>
          </w:tcPr>
          <w:p>
            <w:pPr>
              <w:jc w:val="center"/>
            </w:pPr>
            <w:r>
              <w:rPr>
                <w:color w:val="0F172A"/>
                <w:sz w:val="17"/>
              </w:rPr>
              <w:t>Categorical</w:t>
            </w:r>
          </w:p>
        </w:tc>
        <w:tc>
          <w:tcPr>
            <w:tcW w:type="dxa" w:w="3312"/>
            <w:shd w:fill="FFFFFF"/>
            <w:tcMar>
              <w:top w:w="60" w:type="dxa"/>
              <w:bottom w:w="60" w:type="dxa"/>
              <w:left w:w="80" w:type="dxa"/>
              <w:right w:w="80" w:type="dxa"/>
            </w:tcMar>
          </w:tcPr>
          <w:p>
            <w:pPr>
              <w:jc w:val="center"/>
            </w:pPr>
            <w:r>
              <w:rPr>
                <w:color w:val="0F172A"/>
                <w:sz w:val="17"/>
              </w:rPr>
              <w:t>Freight service level tier</w:t>
            </w:r>
          </w:p>
        </w:tc>
        <w:tc>
          <w:tcPr>
            <w:tcW w:type="dxa" w:w="2448"/>
            <w:shd w:fill="FFFFFF"/>
            <w:tcMar>
              <w:top w:w="60" w:type="dxa"/>
              <w:bottom w:w="60" w:type="dxa"/>
              <w:left w:w="80" w:type="dxa"/>
              <w:right w:w="80" w:type="dxa"/>
            </w:tcMar>
          </w:tcPr>
          <w:p>
            <w:pPr>
              <w:jc w:val="center"/>
            </w:pPr>
            <w:r>
              <w:rPr>
                <w:color w:val="0F172A"/>
                <w:sz w:val="17"/>
              </w:rPr>
              <w:t>Same-Day Courier, Express Air, Standard, Ground</w:t>
            </w:r>
          </w:p>
        </w:tc>
      </w:tr>
      <w:tr>
        <w:tc>
          <w:tcPr>
            <w:tcW w:type="dxa" w:w="2160"/>
            <w:shd w:fill="F1F5F9"/>
            <w:tcMar>
              <w:top w:w="60" w:type="dxa"/>
              <w:bottom w:w="60" w:type="dxa"/>
              <w:left w:w="80" w:type="dxa"/>
              <w:right w:w="80" w:type="dxa"/>
            </w:tcMar>
          </w:tcPr>
          <w:p>
            <w:pPr>
              <w:jc w:val="left"/>
            </w:pPr>
            <w:r>
              <w:rPr>
                <w:color w:val="0F172A"/>
                <w:sz w:val="17"/>
              </w:rPr>
              <w:t>Delivery_Status</w:t>
            </w:r>
          </w:p>
        </w:tc>
        <w:tc>
          <w:tcPr>
            <w:tcW w:type="dxa" w:w="1440"/>
            <w:shd w:fill="F1F5F9"/>
            <w:tcMar>
              <w:top w:w="60" w:type="dxa"/>
              <w:bottom w:w="60" w:type="dxa"/>
              <w:left w:w="80" w:type="dxa"/>
              <w:right w:w="80" w:type="dxa"/>
            </w:tcMar>
          </w:tcPr>
          <w:p>
            <w:pPr>
              <w:jc w:val="center"/>
            </w:pPr>
            <w:r>
              <w:rPr>
                <w:color w:val="0F172A"/>
                <w:sz w:val="17"/>
              </w:rPr>
              <w:t>Categorical</w:t>
            </w:r>
          </w:p>
        </w:tc>
        <w:tc>
          <w:tcPr>
            <w:tcW w:type="dxa" w:w="3312"/>
            <w:shd w:fill="F1F5F9"/>
            <w:tcMar>
              <w:top w:w="60" w:type="dxa"/>
              <w:bottom w:w="60" w:type="dxa"/>
              <w:left w:w="80" w:type="dxa"/>
              <w:right w:w="80" w:type="dxa"/>
            </w:tcMar>
          </w:tcPr>
          <w:p>
            <w:pPr>
              <w:jc w:val="center"/>
            </w:pPr>
            <w:r>
              <w:rPr>
                <w:color w:val="0F172A"/>
                <w:sz w:val="17"/>
              </w:rPr>
              <w:t>Physical fulfillment status</w:t>
            </w:r>
          </w:p>
        </w:tc>
        <w:tc>
          <w:tcPr>
            <w:tcW w:type="dxa" w:w="2448"/>
            <w:shd w:fill="F1F5F9"/>
            <w:tcMar>
              <w:top w:w="60" w:type="dxa"/>
              <w:bottom w:w="60" w:type="dxa"/>
              <w:left w:w="80" w:type="dxa"/>
              <w:right w:w="80" w:type="dxa"/>
            </w:tcMar>
          </w:tcPr>
          <w:p>
            <w:pPr>
              <w:jc w:val="center"/>
            </w:pPr>
            <w:r>
              <w:rPr>
                <w:color w:val="0F172A"/>
                <w:sz w:val="17"/>
              </w:rPr>
              <w:t>Delivered, Delayed</w:t>
            </w:r>
          </w:p>
        </w:tc>
      </w:tr>
      <w:tr>
        <w:tc>
          <w:tcPr>
            <w:tcW w:type="dxa" w:w="2160"/>
            <w:shd w:fill="FFFFFF"/>
            <w:tcMar>
              <w:top w:w="60" w:type="dxa"/>
              <w:bottom w:w="60" w:type="dxa"/>
              <w:left w:w="80" w:type="dxa"/>
              <w:right w:w="80" w:type="dxa"/>
            </w:tcMar>
          </w:tcPr>
          <w:p>
            <w:pPr>
              <w:jc w:val="left"/>
            </w:pPr>
            <w:r>
              <w:rPr>
                <w:color w:val="0F172A"/>
                <w:sz w:val="17"/>
              </w:rPr>
              <w:t>Customer_Rating</w:t>
            </w:r>
          </w:p>
        </w:tc>
        <w:tc>
          <w:tcPr>
            <w:tcW w:type="dxa" w:w="1440"/>
            <w:shd w:fill="FFFFFF"/>
            <w:tcMar>
              <w:top w:w="60" w:type="dxa"/>
              <w:bottom w:w="60" w:type="dxa"/>
              <w:left w:w="80" w:type="dxa"/>
              <w:right w:w="80" w:type="dxa"/>
            </w:tcMar>
          </w:tcPr>
          <w:p>
            <w:pPr>
              <w:jc w:val="center"/>
            </w:pPr>
            <w:r>
              <w:rPr>
                <w:color w:val="0F172A"/>
                <w:sz w:val="17"/>
              </w:rPr>
              <w:t>Float</w:t>
            </w:r>
          </w:p>
        </w:tc>
        <w:tc>
          <w:tcPr>
            <w:tcW w:type="dxa" w:w="3312"/>
            <w:shd w:fill="FFFFFF"/>
            <w:tcMar>
              <w:top w:w="60" w:type="dxa"/>
              <w:bottom w:w="60" w:type="dxa"/>
              <w:left w:w="80" w:type="dxa"/>
              <w:right w:w="80" w:type="dxa"/>
            </w:tcMar>
          </w:tcPr>
          <w:p>
            <w:pPr>
              <w:jc w:val="center"/>
            </w:pPr>
            <w:r>
              <w:rPr>
                <w:color w:val="0F172A"/>
                <w:sz w:val="17"/>
              </w:rPr>
              <w:t>Post-delivery satisfaction score</w:t>
            </w:r>
          </w:p>
        </w:tc>
        <w:tc>
          <w:tcPr>
            <w:tcW w:type="dxa" w:w="2448"/>
            <w:shd w:fill="FFFFFF"/>
            <w:tcMar>
              <w:top w:w="60" w:type="dxa"/>
              <w:bottom w:w="60" w:type="dxa"/>
              <w:left w:w="80" w:type="dxa"/>
              <w:right w:w="80" w:type="dxa"/>
            </w:tcMar>
          </w:tcPr>
          <w:p>
            <w:pPr>
              <w:jc w:val="center"/>
            </w:pPr>
            <w:r>
              <w:rPr>
                <w:color w:val="0F172A"/>
                <w:sz w:val="17"/>
              </w:rPr>
              <w:t>1.0 to 5.0 (Mean: 3.63)</w:t>
            </w:r>
          </w:p>
        </w:tc>
      </w:tr>
      <w:tr>
        <w:tc>
          <w:tcPr>
            <w:tcW w:type="dxa" w:w="2160"/>
            <w:shd w:fill="F1F5F9"/>
            <w:tcMar>
              <w:top w:w="60" w:type="dxa"/>
              <w:bottom w:w="60" w:type="dxa"/>
              <w:left w:w="80" w:type="dxa"/>
              <w:right w:w="80" w:type="dxa"/>
            </w:tcMar>
          </w:tcPr>
          <w:p>
            <w:pPr>
              <w:jc w:val="left"/>
            </w:pPr>
            <w:r>
              <w:rPr>
                <w:color w:val="0F172A"/>
                <w:sz w:val="17"/>
              </w:rPr>
              <w:t>Order_Processing_Days</w:t>
            </w:r>
          </w:p>
        </w:tc>
        <w:tc>
          <w:tcPr>
            <w:tcW w:type="dxa" w:w="1440"/>
            <w:shd w:fill="F1F5F9"/>
            <w:tcMar>
              <w:top w:w="60" w:type="dxa"/>
              <w:bottom w:w="60" w:type="dxa"/>
              <w:left w:w="80" w:type="dxa"/>
              <w:right w:w="80" w:type="dxa"/>
            </w:tcMar>
          </w:tcPr>
          <w:p>
            <w:pPr>
              <w:jc w:val="center"/>
            </w:pPr>
            <w:r>
              <w:rPr>
                <w:color w:val="0F172A"/>
                <w:sz w:val="17"/>
              </w:rPr>
              <w:t>Integer</w:t>
            </w:r>
          </w:p>
        </w:tc>
        <w:tc>
          <w:tcPr>
            <w:tcW w:type="dxa" w:w="3312"/>
            <w:shd w:fill="F1F5F9"/>
            <w:tcMar>
              <w:top w:w="60" w:type="dxa"/>
              <w:bottom w:w="60" w:type="dxa"/>
              <w:left w:w="80" w:type="dxa"/>
              <w:right w:w="80" w:type="dxa"/>
            </w:tcMar>
          </w:tcPr>
          <w:p>
            <w:pPr>
              <w:jc w:val="center"/>
            </w:pPr>
            <w:r>
              <w:rPr>
                <w:color w:val="0F172A"/>
                <w:sz w:val="17"/>
              </w:rPr>
              <w:t>Elapsed dwell time to dispatch</w:t>
            </w:r>
          </w:p>
        </w:tc>
        <w:tc>
          <w:tcPr>
            <w:tcW w:type="dxa" w:w="2448"/>
            <w:shd w:fill="F1F5F9"/>
            <w:tcMar>
              <w:top w:w="60" w:type="dxa"/>
              <w:bottom w:w="60" w:type="dxa"/>
              <w:left w:w="80" w:type="dxa"/>
              <w:right w:w="80" w:type="dxa"/>
            </w:tcMar>
          </w:tcPr>
          <w:p>
            <w:pPr>
              <w:jc w:val="center"/>
            </w:pPr>
            <w:r>
              <w:rPr>
                <w:color w:val="0F172A"/>
                <w:sz w:val="17"/>
              </w:rPr>
              <w:t>1 to 4 days (Mean: 2.43 d)</w:t>
            </w:r>
          </w:p>
        </w:tc>
      </w:tr>
      <w:tr>
        <w:tc>
          <w:tcPr>
            <w:tcW w:type="dxa" w:w="2160"/>
            <w:shd w:fill="FFFFFF"/>
            <w:tcMar>
              <w:top w:w="60" w:type="dxa"/>
              <w:bottom w:w="60" w:type="dxa"/>
              <w:left w:w="80" w:type="dxa"/>
              <w:right w:w="80" w:type="dxa"/>
            </w:tcMar>
          </w:tcPr>
          <w:p>
            <w:pPr>
              <w:jc w:val="left"/>
            </w:pPr>
            <w:r>
              <w:rPr>
                <w:color w:val="0F172A"/>
                <w:sz w:val="17"/>
              </w:rPr>
              <w:t>Is_Delayed</w:t>
            </w:r>
          </w:p>
        </w:tc>
        <w:tc>
          <w:tcPr>
            <w:tcW w:type="dxa" w:w="1440"/>
            <w:shd w:fill="FFFFFF"/>
            <w:tcMar>
              <w:top w:w="60" w:type="dxa"/>
              <w:bottom w:w="60" w:type="dxa"/>
              <w:left w:w="80" w:type="dxa"/>
              <w:right w:w="80" w:type="dxa"/>
            </w:tcMar>
          </w:tcPr>
          <w:p>
            <w:pPr>
              <w:jc w:val="center"/>
            </w:pPr>
            <w:r>
              <w:rPr>
                <w:color w:val="0F172A"/>
                <w:sz w:val="17"/>
              </w:rPr>
              <w:t>Binary</w:t>
            </w:r>
          </w:p>
        </w:tc>
        <w:tc>
          <w:tcPr>
            <w:tcW w:type="dxa" w:w="3312"/>
            <w:shd w:fill="FFFFFF"/>
            <w:tcMar>
              <w:top w:w="60" w:type="dxa"/>
              <w:bottom w:w="60" w:type="dxa"/>
              <w:left w:w="80" w:type="dxa"/>
              <w:right w:w="80" w:type="dxa"/>
            </w:tcMar>
          </w:tcPr>
          <w:p>
            <w:pPr>
              <w:jc w:val="center"/>
            </w:pPr>
            <w:r>
              <w:rPr>
                <w:color w:val="0F172A"/>
                <w:sz w:val="17"/>
              </w:rPr>
              <w:t>Binary delay flag (1 = Late, 0 = On-Time)</w:t>
            </w:r>
          </w:p>
        </w:tc>
        <w:tc>
          <w:tcPr>
            <w:tcW w:type="dxa" w:w="2448"/>
            <w:shd w:fill="FFFFFF"/>
            <w:tcMar>
              <w:top w:w="60" w:type="dxa"/>
              <w:bottom w:w="60" w:type="dxa"/>
              <w:left w:w="80" w:type="dxa"/>
              <w:right w:w="80" w:type="dxa"/>
            </w:tcMar>
          </w:tcPr>
          <w:p>
            <w:pPr>
              <w:jc w:val="center"/>
            </w:pPr>
            <w:r>
              <w:rPr>
                <w:color w:val="0F172A"/>
                <w:sz w:val="17"/>
              </w:rPr>
              <w:t>0 (28.24%), 1 (71.76%)</w:t>
            </w:r>
          </w:p>
        </w:tc>
      </w:tr>
    </w:tbl>
    <w:p>
      <w:pPr>
        <w:spacing w:after="160"/>
      </w:pPr>
    </w:p>
    <w:p>
      <w:pPr>
        <w:pStyle w:val="Heading1"/>
        <w:keepNext/>
        <w:spacing w:before="360" w:after="120"/>
      </w:pPr>
      <w:r>
        <w:rPr>
          <w:rFonts w:ascii="Segoe UI Semibold" w:hAnsi="Segoe UI Semibold"/>
          <w:b/>
          <w:color w:val="1E3A8A"/>
          <w:sz w:val="32"/>
        </w:rPr>
        <w:t>7. Analytical Methodology</w:t>
      </w:r>
    </w:p>
    <w:p>
      <w:pPr>
        <w:spacing w:after="120" w:line="276" w:lineRule="auto"/>
      </w:pPr>
      <w:r>
        <w:rPr>
          <w:rFonts w:ascii="Segoe UI" w:hAnsi="Segoe UI"/>
          <w:i w:val="0"/>
          <w:sz w:val="20"/>
        </w:rPr>
        <w:t>To ensure maximum academic reproducibility and industrial rigor, this analysis adheres to a structured five-stage quantitative methodology:</w:t>
      </w:r>
    </w:p>
    <w:p>
      <w:pPr>
        <w:pStyle w:val="ListBullet"/>
        <w:spacing w:after="60" w:line="276" w:lineRule="auto"/>
      </w:pPr>
      <w:r>
        <w:rPr>
          <w:b/>
          <w:color w:val="1E3A8A"/>
          <w:sz w:val="20"/>
        </w:rPr>
        <w:t xml:space="preserve">1. Ingestion &amp; Validation: </w:t>
      </w:r>
      <w:r>
        <w:rPr>
          <w:sz w:val="20"/>
        </w:rPr>
        <w:t>Verification of schema datatypes, datetime parsing, absence of nulls/duplicates, and feature boundary conformance.</w:t>
      </w:r>
    </w:p>
    <w:p>
      <w:pPr>
        <w:pStyle w:val="ListBullet"/>
        <w:spacing w:after="60" w:line="276" w:lineRule="auto"/>
      </w:pPr>
      <w:r>
        <w:rPr>
          <w:b/>
          <w:color w:val="1E3A8A"/>
          <w:sz w:val="20"/>
        </w:rPr>
        <w:t xml:space="preserve">2. Parametric &amp; Non-Parametric Profiling: </w:t>
      </w:r>
      <w:r>
        <w:rPr>
          <w:sz w:val="20"/>
        </w:rPr>
        <w:t>Computation of Mean, Median, Mode, 5% Trimmed Mean, Standard Deviation, Variance, Interquartile Range (IQR), Skewness, and Kurtosis.</w:t>
      </w:r>
    </w:p>
    <w:p>
      <w:pPr>
        <w:pStyle w:val="ListBullet"/>
        <w:spacing w:after="60" w:line="276" w:lineRule="auto"/>
      </w:pPr>
      <w:r>
        <w:rPr>
          <w:b/>
          <w:color w:val="1E3A8A"/>
          <w:sz w:val="20"/>
        </w:rPr>
        <w:t xml:space="preserve">3. Exploratory Visual Diagnostics: </w:t>
      </w:r>
      <w:r>
        <w:rPr>
          <w:sz w:val="20"/>
        </w:rPr>
        <w:t>Construction of probability density histograms, linear regression fits, scatter interaction grids, and correlation matrices.</w:t>
      </w:r>
    </w:p>
    <w:p>
      <w:pPr>
        <w:pStyle w:val="ListBullet"/>
        <w:spacing w:after="60" w:line="276" w:lineRule="auto"/>
      </w:pPr>
      <w:r>
        <w:rPr>
          <w:b/>
          <w:color w:val="1E3A8A"/>
          <w:sz w:val="20"/>
        </w:rPr>
        <w:t xml:space="preserve">4. Multidimensional Slicing: </w:t>
      </w:r>
      <w:r>
        <w:rPr>
          <w:sz w:val="20"/>
        </w:rPr>
        <w:t>Granular aggregations across geographic regions, carrier modes, warehouse origins, customer tiers, and chronological monthly intervals.</w:t>
      </w:r>
    </w:p>
    <w:p>
      <w:pPr>
        <w:pStyle w:val="ListBullet"/>
        <w:spacing w:after="60" w:line="276" w:lineRule="auto"/>
      </w:pPr>
      <w:r>
        <w:rPr>
          <w:b/>
          <w:color w:val="1E3A8A"/>
          <w:sz w:val="20"/>
        </w:rPr>
        <w:t xml:space="preserve">5. Synthesis &amp; Root-Cause Analysis: </w:t>
      </w:r>
      <w:r>
        <w:rPr>
          <w:sz w:val="20"/>
        </w:rPr>
        <w:t>Formulation of evidence-grounded insights using the structured (F-E-M-A) framework, construction of the Operational Bottleneck Matrix, and phased strategic prioritization.</w:t>
      </w:r>
    </w:p>
    <w:p>
      <w:pPr>
        <w:pStyle w:val="Heading1"/>
        <w:keepNext/>
        <w:spacing w:before="360" w:after="120"/>
      </w:pPr>
      <w:r>
        <w:rPr>
          <w:rFonts w:ascii="Segoe UI Semibold" w:hAnsi="Segoe UI Semibold"/>
          <w:b/>
          <w:color w:val="1E3A8A"/>
          <w:sz w:val="32"/>
        </w:rPr>
        <w:t>8. Dataset Exploration</w:t>
      </w:r>
    </w:p>
    <w:p>
      <w:pPr>
        <w:spacing w:after="120" w:line="276" w:lineRule="auto"/>
      </w:pPr>
      <w:r>
        <w:rPr>
          <w:rFonts w:ascii="Segoe UI" w:hAnsi="Segoe UI"/>
          <w:i w:val="0"/>
          <w:sz w:val="20"/>
        </w:rPr>
        <w:t>An initial audit of the 1,250 records confirmed flawless data hygiene: exactly 0 missing values across all 42 attributes, 0 duplicated rows, 182 days of continuous operational records (Jan 1 – Jun 30, 2024), and balanced category distributions across customer segments and regions.</w:t>
      </w:r>
    </w:p>
    <w:p>
      <w:pPr>
        <w:pStyle w:val="Heading1"/>
        <w:keepNext/>
        <w:spacing w:before="360" w:after="120"/>
      </w:pPr>
      <w:r>
        <w:rPr>
          <w:rFonts w:ascii="Segoe UI Semibold" w:hAnsi="Segoe UI Semibold"/>
          <w:b/>
          <w:color w:val="1E3A8A"/>
          <w:sz w:val="32"/>
        </w:rPr>
        <w:t>9. Descriptive Statistics</w:t>
      </w:r>
    </w:p>
    <w:p>
      <w:pPr>
        <w:spacing w:after="120" w:line="276" w:lineRule="auto"/>
      </w:pPr>
      <w:r>
        <w:rPr>
          <w:rFonts w:ascii="Segoe UI" w:hAnsi="Segoe UI"/>
          <w:i w:val="0"/>
          <w:sz w:val="20"/>
        </w:rPr>
        <w:t>A comprehensive statistical summary was computed for all core numerical operational variables to understand baseline central tendencies, dispersion spreads, and probability density shapes.</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2160"/>
            <w:shd w:fill="1E3A8A"/>
            <w:tcMar>
              <w:top w:w="80" w:type="dxa"/>
              <w:bottom w:w="80" w:type="dxa"/>
              <w:left w:w="90" w:type="dxa"/>
              <w:right w:w="90" w:type="dxa"/>
            </w:tcMar>
          </w:tcPr>
          <w:p>
            <w:pPr>
              <w:jc w:val="center"/>
            </w:pPr>
            <w:r>
              <w:rPr>
                <w:b/>
                <w:color w:val="FFFFFF"/>
                <w:sz w:val="18"/>
              </w:rPr>
              <w:t>Variable</w:t>
            </w:r>
          </w:p>
        </w:tc>
        <w:tc>
          <w:tcPr>
            <w:tcW w:type="dxa" w:w="576"/>
            <w:shd w:fill="1E3A8A"/>
            <w:tcMar>
              <w:top w:w="80" w:type="dxa"/>
              <w:bottom w:w="80" w:type="dxa"/>
              <w:left w:w="90" w:type="dxa"/>
              <w:right w:w="90" w:type="dxa"/>
            </w:tcMar>
          </w:tcPr>
          <w:p>
            <w:pPr>
              <w:jc w:val="center"/>
            </w:pPr>
            <w:r>
              <w:rPr>
                <w:b/>
                <w:color w:val="FFFFFF"/>
                <w:sz w:val="18"/>
              </w:rPr>
              <w:t>Count</w:t>
            </w:r>
          </w:p>
        </w:tc>
        <w:tc>
          <w:tcPr>
            <w:tcW w:type="dxa" w:w="648"/>
            <w:shd w:fill="1E3A8A"/>
            <w:tcMar>
              <w:top w:w="80" w:type="dxa"/>
              <w:bottom w:w="80" w:type="dxa"/>
              <w:left w:w="90" w:type="dxa"/>
              <w:right w:w="90" w:type="dxa"/>
            </w:tcMar>
          </w:tcPr>
          <w:p>
            <w:pPr>
              <w:jc w:val="center"/>
            </w:pPr>
            <w:r>
              <w:rPr>
                <w:b/>
                <w:color w:val="FFFFFF"/>
                <w:sz w:val="18"/>
              </w:rPr>
              <w:t>Mean</w:t>
            </w:r>
          </w:p>
        </w:tc>
        <w:tc>
          <w:tcPr>
            <w:tcW w:type="dxa" w:w="648"/>
            <w:shd w:fill="1E3A8A"/>
            <w:tcMar>
              <w:top w:w="80" w:type="dxa"/>
              <w:bottom w:w="80" w:type="dxa"/>
              <w:left w:w="90" w:type="dxa"/>
              <w:right w:w="90" w:type="dxa"/>
            </w:tcMar>
          </w:tcPr>
          <w:p>
            <w:pPr>
              <w:jc w:val="center"/>
            </w:pPr>
            <w:r>
              <w:rPr>
                <w:b/>
                <w:color w:val="FFFFFF"/>
                <w:sz w:val="18"/>
              </w:rPr>
              <w:t>Median</w:t>
            </w:r>
          </w:p>
        </w:tc>
        <w:tc>
          <w:tcPr>
            <w:tcW w:type="dxa" w:w="648"/>
            <w:shd w:fill="1E3A8A"/>
            <w:tcMar>
              <w:top w:w="80" w:type="dxa"/>
              <w:bottom w:w="80" w:type="dxa"/>
              <w:left w:w="90" w:type="dxa"/>
              <w:right w:w="90" w:type="dxa"/>
            </w:tcMar>
          </w:tcPr>
          <w:p>
            <w:pPr>
              <w:jc w:val="center"/>
            </w:pPr>
            <w:r>
              <w:rPr>
                <w:b/>
                <w:color w:val="FFFFFF"/>
                <w:sz w:val="18"/>
              </w:rPr>
              <w:t>Mode</w:t>
            </w:r>
          </w:p>
        </w:tc>
        <w:tc>
          <w:tcPr>
            <w:tcW w:type="dxa" w:w="648"/>
            <w:shd w:fill="1E3A8A"/>
            <w:tcMar>
              <w:top w:w="80" w:type="dxa"/>
              <w:bottom w:w="80" w:type="dxa"/>
              <w:left w:w="90" w:type="dxa"/>
              <w:right w:w="90" w:type="dxa"/>
            </w:tcMar>
          </w:tcPr>
          <w:p>
            <w:pPr>
              <w:jc w:val="center"/>
            </w:pPr>
            <w:r>
              <w:rPr>
                <w:b/>
                <w:color w:val="FFFFFF"/>
                <w:sz w:val="18"/>
              </w:rPr>
              <w:t>Std Dev</w:t>
            </w:r>
          </w:p>
        </w:tc>
        <w:tc>
          <w:tcPr>
            <w:tcW w:type="dxa" w:w="504"/>
            <w:shd w:fill="1E3A8A"/>
            <w:tcMar>
              <w:top w:w="80" w:type="dxa"/>
              <w:bottom w:w="80" w:type="dxa"/>
              <w:left w:w="90" w:type="dxa"/>
              <w:right w:w="90" w:type="dxa"/>
            </w:tcMar>
          </w:tcPr>
          <w:p>
            <w:pPr>
              <w:jc w:val="center"/>
            </w:pPr>
            <w:r>
              <w:rPr>
                <w:b/>
                <w:color w:val="FFFFFF"/>
                <w:sz w:val="18"/>
              </w:rPr>
              <w:t>Min</w:t>
            </w:r>
          </w:p>
        </w:tc>
        <w:tc>
          <w:tcPr>
            <w:tcW w:type="dxa" w:w="504"/>
            <w:shd w:fill="1E3A8A"/>
            <w:tcMar>
              <w:top w:w="80" w:type="dxa"/>
              <w:bottom w:w="80" w:type="dxa"/>
              <w:left w:w="90" w:type="dxa"/>
              <w:right w:w="90" w:type="dxa"/>
            </w:tcMar>
          </w:tcPr>
          <w:p>
            <w:pPr>
              <w:jc w:val="center"/>
            </w:pPr>
            <w:r>
              <w:rPr>
                <w:b/>
                <w:color w:val="FFFFFF"/>
                <w:sz w:val="18"/>
              </w:rPr>
              <w:t>Q1</w:t>
            </w:r>
          </w:p>
        </w:tc>
        <w:tc>
          <w:tcPr>
            <w:tcW w:type="dxa" w:w="648"/>
            <w:shd w:fill="1E3A8A"/>
            <w:tcMar>
              <w:top w:w="80" w:type="dxa"/>
              <w:bottom w:w="80" w:type="dxa"/>
              <w:left w:w="90" w:type="dxa"/>
              <w:right w:w="90" w:type="dxa"/>
            </w:tcMar>
          </w:tcPr>
          <w:p>
            <w:pPr>
              <w:jc w:val="center"/>
            </w:pPr>
            <w:r>
              <w:rPr>
                <w:b/>
                <w:color w:val="FFFFFF"/>
                <w:sz w:val="18"/>
              </w:rPr>
              <w:t>Q3</w:t>
            </w:r>
          </w:p>
        </w:tc>
        <w:tc>
          <w:tcPr>
            <w:tcW w:type="dxa" w:w="648"/>
            <w:shd w:fill="1E3A8A"/>
            <w:tcMar>
              <w:top w:w="80" w:type="dxa"/>
              <w:bottom w:w="80" w:type="dxa"/>
              <w:left w:w="90" w:type="dxa"/>
              <w:right w:w="90" w:type="dxa"/>
            </w:tcMar>
          </w:tcPr>
          <w:p>
            <w:pPr>
              <w:jc w:val="center"/>
            </w:pPr>
            <w:r>
              <w:rPr>
                <w:b/>
                <w:color w:val="FFFFFF"/>
                <w:sz w:val="18"/>
              </w:rPr>
              <w:t>Max</w:t>
            </w:r>
          </w:p>
        </w:tc>
        <w:tc>
          <w:tcPr>
            <w:tcW w:type="dxa" w:w="576"/>
            <w:shd w:fill="1E3A8A"/>
            <w:tcMar>
              <w:top w:w="80" w:type="dxa"/>
              <w:bottom w:w="80" w:type="dxa"/>
              <w:left w:w="90" w:type="dxa"/>
              <w:right w:w="90" w:type="dxa"/>
            </w:tcMar>
          </w:tcPr>
          <w:p>
            <w:pPr>
              <w:jc w:val="center"/>
            </w:pPr>
            <w:r>
              <w:rPr>
                <w:b/>
                <w:color w:val="FFFFFF"/>
                <w:sz w:val="18"/>
              </w:rPr>
              <w:t>IQR</w:t>
            </w:r>
          </w:p>
        </w:tc>
        <w:tc>
          <w:tcPr>
            <w:tcW w:type="dxa" w:w="648"/>
            <w:shd w:fill="1E3A8A"/>
            <w:tcMar>
              <w:top w:w="80" w:type="dxa"/>
              <w:bottom w:w="80" w:type="dxa"/>
              <w:left w:w="90" w:type="dxa"/>
              <w:right w:w="90" w:type="dxa"/>
            </w:tcMar>
          </w:tcPr>
          <w:p>
            <w:pPr>
              <w:jc w:val="center"/>
            </w:pPr>
            <w:r>
              <w:rPr>
                <w:b/>
                <w:color w:val="FFFFFF"/>
                <w:sz w:val="18"/>
              </w:rPr>
              <w:t>Skewness</w:t>
            </w:r>
          </w:p>
        </w:tc>
        <w:tc>
          <w:tcPr>
            <w:tcW w:type="dxa" w:w="648"/>
            <w:shd w:fill="1E3A8A"/>
            <w:tcMar>
              <w:top w:w="80" w:type="dxa"/>
              <w:bottom w:w="80" w:type="dxa"/>
              <w:left w:w="90" w:type="dxa"/>
              <w:right w:w="90" w:type="dxa"/>
            </w:tcMar>
          </w:tcPr>
          <w:p>
            <w:pPr>
              <w:jc w:val="center"/>
            </w:pPr>
            <w:r>
              <w:rPr>
                <w:b/>
                <w:color w:val="FFFFFF"/>
                <w:sz w:val="18"/>
              </w:rPr>
              <w:t>Kurtosis</w:t>
            </w:r>
          </w:p>
        </w:tc>
      </w:tr>
      <w:tr>
        <w:tc>
          <w:tcPr>
            <w:tcW w:type="dxa" w:w="2160"/>
            <w:shd w:fill="FFFFFF"/>
            <w:tcMar>
              <w:top w:w="60" w:type="dxa"/>
              <w:bottom w:w="60" w:type="dxa"/>
              <w:left w:w="80" w:type="dxa"/>
              <w:right w:w="80" w:type="dxa"/>
            </w:tcMar>
          </w:tcPr>
          <w:p>
            <w:pPr>
              <w:jc w:val="left"/>
            </w:pPr>
            <w:r>
              <w:rPr>
                <w:color w:val="0F172A"/>
                <w:sz w:val="17"/>
              </w:rPr>
              <w:t>Delivery_Time_Days</w:t>
            </w:r>
          </w:p>
        </w:tc>
        <w:tc>
          <w:tcPr>
            <w:tcW w:type="dxa" w:w="576"/>
            <w:shd w:fill="FFFFFF"/>
            <w:tcMar>
              <w:top w:w="60" w:type="dxa"/>
              <w:bottom w:w="60" w:type="dxa"/>
              <w:left w:w="80" w:type="dxa"/>
              <w:right w:w="80" w:type="dxa"/>
            </w:tcMar>
          </w:tcPr>
          <w:p>
            <w:pPr>
              <w:jc w:val="center"/>
            </w:pPr>
            <w:r>
              <w:rPr>
                <w:color w:val="0F172A"/>
                <w:sz w:val="17"/>
              </w:rPr>
              <w:t>1,250</w:t>
            </w:r>
          </w:p>
        </w:tc>
        <w:tc>
          <w:tcPr>
            <w:tcW w:type="dxa" w:w="648"/>
            <w:shd w:fill="FFFFFF"/>
            <w:tcMar>
              <w:top w:w="60" w:type="dxa"/>
              <w:bottom w:w="60" w:type="dxa"/>
              <w:left w:w="80" w:type="dxa"/>
              <w:right w:w="80" w:type="dxa"/>
            </w:tcMar>
          </w:tcPr>
          <w:p>
            <w:pPr>
              <w:jc w:val="center"/>
            </w:pPr>
            <w:r>
              <w:rPr>
                <w:color w:val="0F172A"/>
                <w:sz w:val="17"/>
              </w:rPr>
              <w:t>5.0003</w:t>
            </w:r>
          </w:p>
        </w:tc>
        <w:tc>
          <w:tcPr>
            <w:tcW w:type="dxa" w:w="648"/>
            <w:shd w:fill="FFFFFF"/>
            <w:tcMar>
              <w:top w:w="60" w:type="dxa"/>
              <w:bottom w:w="60" w:type="dxa"/>
              <w:left w:w="80" w:type="dxa"/>
              <w:right w:w="80" w:type="dxa"/>
            </w:tcMar>
          </w:tcPr>
          <w:p>
            <w:pPr>
              <w:jc w:val="center"/>
            </w:pPr>
            <w:r>
              <w:rPr>
                <w:color w:val="0F172A"/>
                <w:sz w:val="17"/>
              </w:rPr>
              <w:t>5.2000</w:t>
            </w:r>
          </w:p>
        </w:tc>
        <w:tc>
          <w:tcPr>
            <w:tcW w:type="dxa" w:w="648"/>
            <w:shd w:fill="FFFFFF"/>
            <w:tcMar>
              <w:top w:w="60" w:type="dxa"/>
              <w:bottom w:w="60" w:type="dxa"/>
              <w:left w:w="80" w:type="dxa"/>
              <w:right w:w="80" w:type="dxa"/>
            </w:tcMar>
          </w:tcPr>
          <w:p>
            <w:pPr>
              <w:jc w:val="center"/>
            </w:pPr>
            <w:r>
              <w:rPr>
                <w:color w:val="0F172A"/>
                <w:sz w:val="17"/>
              </w:rPr>
              <w:t>5.7000</w:t>
            </w:r>
          </w:p>
        </w:tc>
        <w:tc>
          <w:tcPr>
            <w:tcW w:type="dxa" w:w="648"/>
            <w:shd w:fill="FFFFFF"/>
            <w:tcMar>
              <w:top w:w="60" w:type="dxa"/>
              <w:bottom w:w="60" w:type="dxa"/>
              <w:left w:w="80" w:type="dxa"/>
              <w:right w:w="80" w:type="dxa"/>
            </w:tcMar>
          </w:tcPr>
          <w:p>
            <w:pPr>
              <w:jc w:val="center"/>
            </w:pPr>
            <w:r>
              <w:rPr>
                <w:color w:val="0F172A"/>
                <w:sz w:val="17"/>
              </w:rPr>
              <w:t>2.1448</w:t>
            </w:r>
          </w:p>
        </w:tc>
        <w:tc>
          <w:tcPr>
            <w:tcW w:type="dxa" w:w="504"/>
            <w:shd w:fill="FFFFFF"/>
            <w:tcMar>
              <w:top w:w="60" w:type="dxa"/>
              <w:bottom w:w="60" w:type="dxa"/>
              <w:left w:w="80" w:type="dxa"/>
              <w:right w:w="80" w:type="dxa"/>
            </w:tcMar>
          </w:tcPr>
          <w:p>
            <w:pPr>
              <w:jc w:val="center"/>
            </w:pPr>
            <w:r>
              <w:rPr>
                <w:color w:val="0F172A"/>
                <w:sz w:val="17"/>
              </w:rPr>
              <w:t>0.80</w:t>
            </w:r>
          </w:p>
        </w:tc>
        <w:tc>
          <w:tcPr>
            <w:tcW w:type="dxa" w:w="504"/>
            <w:shd w:fill="FFFFFF"/>
            <w:tcMar>
              <w:top w:w="60" w:type="dxa"/>
              <w:bottom w:w="60" w:type="dxa"/>
              <w:left w:w="80" w:type="dxa"/>
              <w:right w:w="80" w:type="dxa"/>
            </w:tcMar>
          </w:tcPr>
          <w:p>
            <w:pPr>
              <w:jc w:val="center"/>
            </w:pPr>
            <w:r>
              <w:rPr>
                <w:color w:val="0F172A"/>
                <w:sz w:val="17"/>
              </w:rPr>
              <w:t>3.30</w:t>
            </w:r>
          </w:p>
        </w:tc>
        <w:tc>
          <w:tcPr>
            <w:tcW w:type="dxa" w:w="648"/>
            <w:shd w:fill="FFFFFF"/>
            <w:tcMar>
              <w:top w:w="60" w:type="dxa"/>
              <w:bottom w:w="60" w:type="dxa"/>
              <w:left w:w="80" w:type="dxa"/>
              <w:right w:w="80" w:type="dxa"/>
            </w:tcMar>
          </w:tcPr>
          <w:p>
            <w:pPr>
              <w:jc w:val="center"/>
            </w:pPr>
            <w:r>
              <w:rPr>
                <w:color w:val="0F172A"/>
                <w:sz w:val="17"/>
              </w:rPr>
              <w:t>6.70</w:t>
            </w:r>
          </w:p>
        </w:tc>
        <w:tc>
          <w:tcPr>
            <w:tcW w:type="dxa" w:w="648"/>
            <w:shd w:fill="FFFFFF"/>
            <w:tcMar>
              <w:top w:w="60" w:type="dxa"/>
              <w:bottom w:w="60" w:type="dxa"/>
              <w:left w:w="80" w:type="dxa"/>
              <w:right w:w="80" w:type="dxa"/>
            </w:tcMar>
          </w:tcPr>
          <w:p>
            <w:pPr>
              <w:jc w:val="center"/>
            </w:pPr>
            <w:r>
              <w:rPr>
                <w:color w:val="0F172A"/>
                <w:sz w:val="17"/>
              </w:rPr>
              <w:t>9.80</w:t>
            </w:r>
          </w:p>
        </w:tc>
        <w:tc>
          <w:tcPr>
            <w:tcW w:type="dxa" w:w="576"/>
            <w:shd w:fill="FFFFFF"/>
            <w:tcMar>
              <w:top w:w="60" w:type="dxa"/>
              <w:bottom w:w="60" w:type="dxa"/>
              <w:left w:w="80" w:type="dxa"/>
              <w:right w:w="80" w:type="dxa"/>
            </w:tcMar>
          </w:tcPr>
          <w:p>
            <w:pPr>
              <w:jc w:val="center"/>
            </w:pPr>
            <w:r>
              <w:rPr>
                <w:color w:val="0F172A"/>
                <w:sz w:val="17"/>
              </w:rPr>
              <w:t>3.40</w:t>
            </w:r>
          </w:p>
        </w:tc>
        <w:tc>
          <w:tcPr>
            <w:tcW w:type="dxa" w:w="648"/>
            <w:shd w:fill="FFFFFF"/>
            <w:tcMar>
              <w:top w:w="60" w:type="dxa"/>
              <w:bottom w:w="60" w:type="dxa"/>
              <w:left w:w="80" w:type="dxa"/>
              <w:right w:w="80" w:type="dxa"/>
            </w:tcMar>
          </w:tcPr>
          <w:p>
            <w:pPr>
              <w:jc w:val="center"/>
            </w:pPr>
            <w:r>
              <w:rPr>
                <w:color w:val="0F172A"/>
                <w:sz w:val="17"/>
              </w:rPr>
              <w:t>-0.198</w:t>
            </w:r>
          </w:p>
        </w:tc>
        <w:tc>
          <w:tcPr>
            <w:tcW w:type="dxa" w:w="648"/>
            <w:shd w:fill="FFFFFF"/>
            <w:tcMar>
              <w:top w:w="60" w:type="dxa"/>
              <w:bottom w:w="60" w:type="dxa"/>
              <w:left w:w="80" w:type="dxa"/>
              <w:right w:w="80" w:type="dxa"/>
            </w:tcMar>
          </w:tcPr>
          <w:p>
            <w:pPr>
              <w:jc w:val="center"/>
            </w:pPr>
            <w:r>
              <w:rPr>
                <w:color w:val="0F172A"/>
                <w:sz w:val="17"/>
              </w:rPr>
              <w:t>-0.930</w:t>
            </w:r>
          </w:p>
        </w:tc>
      </w:tr>
      <w:tr>
        <w:tc>
          <w:tcPr>
            <w:tcW w:type="dxa" w:w="2160"/>
            <w:shd w:fill="F1F5F9"/>
            <w:tcMar>
              <w:top w:w="60" w:type="dxa"/>
              <w:bottom w:w="60" w:type="dxa"/>
              <w:left w:w="80" w:type="dxa"/>
              <w:right w:w="80" w:type="dxa"/>
            </w:tcMar>
          </w:tcPr>
          <w:p>
            <w:pPr>
              <w:jc w:val="left"/>
            </w:pPr>
            <w:r>
              <w:rPr>
                <w:color w:val="0F172A"/>
                <w:sz w:val="17"/>
              </w:rPr>
              <w:t>Shipping_Cost_USD</w:t>
            </w:r>
          </w:p>
        </w:tc>
        <w:tc>
          <w:tcPr>
            <w:tcW w:type="dxa" w:w="576"/>
            <w:shd w:fill="F1F5F9"/>
            <w:tcMar>
              <w:top w:w="60" w:type="dxa"/>
              <w:bottom w:w="60" w:type="dxa"/>
              <w:left w:w="80" w:type="dxa"/>
              <w:right w:w="80" w:type="dxa"/>
            </w:tcMar>
          </w:tcPr>
          <w:p>
            <w:pPr>
              <w:jc w:val="center"/>
            </w:pPr>
            <w:r>
              <w:rPr>
                <w:color w:val="0F172A"/>
                <w:sz w:val="17"/>
              </w:rPr>
              <w:t>1,250</w:t>
            </w:r>
          </w:p>
        </w:tc>
        <w:tc>
          <w:tcPr>
            <w:tcW w:type="dxa" w:w="648"/>
            <w:shd w:fill="F1F5F9"/>
            <w:tcMar>
              <w:top w:w="60" w:type="dxa"/>
              <w:bottom w:w="60" w:type="dxa"/>
              <w:left w:w="80" w:type="dxa"/>
              <w:right w:w="80" w:type="dxa"/>
            </w:tcMar>
          </w:tcPr>
          <w:p>
            <w:pPr>
              <w:jc w:val="center"/>
            </w:pPr>
            <w:r>
              <w:rPr>
                <w:color w:val="0F172A"/>
                <w:sz w:val="17"/>
              </w:rPr>
              <w:t>91.8475</w:t>
            </w:r>
          </w:p>
        </w:tc>
        <w:tc>
          <w:tcPr>
            <w:tcW w:type="dxa" w:w="648"/>
            <w:shd w:fill="F1F5F9"/>
            <w:tcMar>
              <w:top w:w="60" w:type="dxa"/>
              <w:bottom w:w="60" w:type="dxa"/>
              <w:left w:w="80" w:type="dxa"/>
              <w:right w:w="80" w:type="dxa"/>
            </w:tcMar>
          </w:tcPr>
          <w:p>
            <w:pPr>
              <w:jc w:val="center"/>
            </w:pPr>
            <w:r>
              <w:rPr>
                <w:color w:val="0F172A"/>
                <w:sz w:val="17"/>
              </w:rPr>
              <w:t>78.4350</w:t>
            </w:r>
          </w:p>
        </w:tc>
        <w:tc>
          <w:tcPr>
            <w:tcW w:type="dxa" w:w="648"/>
            <w:shd w:fill="F1F5F9"/>
            <w:tcMar>
              <w:top w:w="60" w:type="dxa"/>
              <w:bottom w:w="60" w:type="dxa"/>
              <w:left w:w="80" w:type="dxa"/>
              <w:right w:w="80" w:type="dxa"/>
            </w:tcMar>
          </w:tcPr>
          <w:p>
            <w:pPr>
              <w:jc w:val="center"/>
            </w:pPr>
            <w:r>
              <w:rPr>
                <w:color w:val="0F172A"/>
                <w:sz w:val="17"/>
              </w:rPr>
              <w:t>67.4300</w:t>
            </w:r>
          </w:p>
        </w:tc>
        <w:tc>
          <w:tcPr>
            <w:tcW w:type="dxa" w:w="648"/>
            <w:shd w:fill="F1F5F9"/>
            <w:tcMar>
              <w:top w:w="60" w:type="dxa"/>
              <w:bottom w:w="60" w:type="dxa"/>
              <w:left w:w="80" w:type="dxa"/>
              <w:right w:w="80" w:type="dxa"/>
            </w:tcMar>
          </w:tcPr>
          <w:p>
            <w:pPr>
              <w:jc w:val="center"/>
            </w:pPr>
            <w:r>
              <w:rPr>
                <w:color w:val="0F172A"/>
                <w:sz w:val="17"/>
              </w:rPr>
              <w:t>48.7498</w:t>
            </w:r>
          </w:p>
        </w:tc>
        <w:tc>
          <w:tcPr>
            <w:tcW w:type="dxa" w:w="504"/>
            <w:shd w:fill="F1F5F9"/>
            <w:tcMar>
              <w:top w:w="60" w:type="dxa"/>
              <w:bottom w:w="60" w:type="dxa"/>
              <w:left w:w="80" w:type="dxa"/>
              <w:right w:w="80" w:type="dxa"/>
            </w:tcMar>
          </w:tcPr>
          <w:p>
            <w:pPr>
              <w:jc w:val="center"/>
            </w:pPr>
            <w:r>
              <w:rPr>
                <w:color w:val="0F172A"/>
                <w:sz w:val="17"/>
              </w:rPr>
              <w:t>8.00</w:t>
            </w:r>
          </w:p>
        </w:tc>
        <w:tc>
          <w:tcPr>
            <w:tcW w:type="dxa" w:w="504"/>
            <w:shd w:fill="F1F5F9"/>
            <w:tcMar>
              <w:top w:w="60" w:type="dxa"/>
              <w:bottom w:w="60" w:type="dxa"/>
              <w:left w:w="80" w:type="dxa"/>
              <w:right w:w="80" w:type="dxa"/>
            </w:tcMar>
          </w:tcPr>
          <w:p>
            <w:pPr>
              <w:jc w:val="center"/>
            </w:pPr>
            <w:r>
              <w:rPr>
                <w:color w:val="0F172A"/>
                <w:sz w:val="17"/>
              </w:rPr>
              <w:t>54.85</w:t>
            </w:r>
          </w:p>
        </w:tc>
        <w:tc>
          <w:tcPr>
            <w:tcW w:type="dxa" w:w="648"/>
            <w:shd w:fill="F1F5F9"/>
            <w:tcMar>
              <w:top w:w="60" w:type="dxa"/>
              <w:bottom w:w="60" w:type="dxa"/>
              <w:left w:w="80" w:type="dxa"/>
              <w:right w:w="80" w:type="dxa"/>
            </w:tcMar>
          </w:tcPr>
          <w:p>
            <w:pPr>
              <w:jc w:val="center"/>
            </w:pPr>
            <w:r>
              <w:rPr>
                <w:color w:val="0F172A"/>
                <w:sz w:val="17"/>
              </w:rPr>
              <w:t>121.22</w:t>
            </w:r>
          </w:p>
        </w:tc>
        <w:tc>
          <w:tcPr>
            <w:tcW w:type="dxa" w:w="648"/>
            <w:shd w:fill="F1F5F9"/>
            <w:tcMar>
              <w:top w:w="60" w:type="dxa"/>
              <w:bottom w:w="60" w:type="dxa"/>
              <w:left w:w="80" w:type="dxa"/>
              <w:right w:w="80" w:type="dxa"/>
            </w:tcMar>
          </w:tcPr>
          <w:p>
            <w:pPr>
              <w:jc w:val="center"/>
            </w:pPr>
            <w:r>
              <w:rPr>
                <w:color w:val="0F172A"/>
                <w:sz w:val="17"/>
              </w:rPr>
              <w:t>233.00</w:t>
            </w:r>
          </w:p>
        </w:tc>
        <w:tc>
          <w:tcPr>
            <w:tcW w:type="dxa" w:w="576"/>
            <w:shd w:fill="F1F5F9"/>
            <w:tcMar>
              <w:top w:w="60" w:type="dxa"/>
              <w:bottom w:w="60" w:type="dxa"/>
              <w:left w:w="80" w:type="dxa"/>
              <w:right w:w="80" w:type="dxa"/>
            </w:tcMar>
          </w:tcPr>
          <w:p>
            <w:pPr>
              <w:jc w:val="center"/>
            </w:pPr>
            <w:r>
              <w:rPr>
                <w:color w:val="0F172A"/>
                <w:sz w:val="17"/>
              </w:rPr>
              <w:t>66.36</w:t>
            </w:r>
          </w:p>
        </w:tc>
        <w:tc>
          <w:tcPr>
            <w:tcW w:type="dxa" w:w="648"/>
            <w:shd w:fill="F1F5F9"/>
            <w:tcMar>
              <w:top w:w="60" w:type="dxa"/>
              <w:bottom w:w="60" w:type="dxa"/>
              <w:left w:w="80" w:type="dxa"/>
              <w:right w:w="80" w:type="dxa"/>
            </w:tcMar>
          </w:tcPr>
          <w:p>
            <w:pPr>
              <w:jc w:val="center"/>
            </w:pPr>
            <w:r>
              <w:rPr>
                <w:color w:val="0F172A"/>
                <w:sz w:val="17"/>
              </w:rPr>
              <w:t>+0.871</w:t>
            </w:r>
          </w:p>
        </w:tc>
        <w:tc>
          <w:tcPr>
            <w:tcW w:type="dxa" w:w="648"/>
            <w:shd w:fill="F1F5F9"/>
            <w:tcMar>
              <w:top w:w="60" w:type="dxa"/>
              <w:bottom w:w="60" w:type="dxa"/>
              <w:left w:w="80" w:type="dxa"/>
              <w:right w:w="80" w:type="dxa"/>
            </w:tcMar>
          </w:tcPr>
          <w:p>
            <w:pPr>
              <w:jc w:val="center"/>
            </w:pPr>
            <w:r>
              <w:rPr>
                <w:color w:val="0F172A"/>
                <w:sz w:val="17"/>
              </w:rPr>
              <w:t>+0.137</w:t>
            </w:r>
          </w:p>
        </w:tc>
      </w:tr>
      <w:tr>
        <w:tc>
          <w:tcPr>
            <w:tcW w:type="dxa" w:w="2160"/>
            <w:shd w:fill="FFFFFF"/>
            <w:tcMar>
              <w:top w:w="60" w:type="dxa"/>
              <w:bottom w:w="60" w:type="dxa"/>
              <w:left w:w="80" w:type="dxa"/>
              <w:right w:w="80" w:type="dxa"/>
            </w:tcMar>
          </w:tcPr>
          <w:p>
            <w:pPr>
              <w:jc w:val="left"/>
            </w:pPr>
            <w:r>
              <w:rPr>
                <w:color w:val="0F172A"/>
                <w:sz w:val="17"/>
              </w:rPr>
              <w:t>Sales_USD</w:t>
            </w:r>
          </w:p>
        </w:tc>
        <w:tc>
          <w:tcPr>
            <w:tcW w:type="dxa" w:w="576"/>
            <w:shd w:fill="FFFFFF"/>
            <w:tcMar>
              <w:top w:w="60" w:type="dxa"/>
              <w:bottom w:w="60" w:type="dxa"/>
              <w:left w:w="80" w:type="dxa"/>
              <w:right w:w="80" w:type="dxa"/>
            </w:tcMar>
          </w:tcPr>
          <w:p>
            <w:pPr>
              <w:jc w:val="center"/>
            </w:pPr>
            <w:r>
              <w:rPr>
                <w:color w:val="0F172A"/>
                <w:sz w:val="17"/>
              </w:rPr>
              <w:t>1,250</w:t>
            </w:r>
          </w:p>
        </w:tc>
        <w:tc>
          <w:tcPr>
            <w:tcW w:type="dxa" w:w="648"/>
            <w:shd w:fill="FFFFFF"/>
            <w:tcMar>
              <w:top w:w="60" w:type="dxa"/>
              <w:bottom w:w="60" w:type="dxa"/>
              <w:left w:w="80" w:type="dxa"/>
              <w:right w:w="80" w:type="dxa"/>
            </w:tcMar>
          </w:tcPr>
          <w:p>
            <w:pPr>
              <w:jc w:val="center"/>
            </w:pPr>
            <w:r>
              <w:rPr>
                <w:color w:val="0F172A"/>
                <w:sz w:val="17"/>
              </w:rPr>
              <w:t>615.435</w:t>
            </w:r>
          </w:p>
        </w:tc>
        <w:tc>
          <w:tcPr>
            <w:tcW w:type="dxa" w:w="648"/>
            <w:shd w:fill="FFFFFF"/>
            <w:tcMar>
              <w:top w:w="60" w:type="dxa"/>
              <w:bottom w:w="60" w:type="dxa"/>
              <w:left w:w="80" w:type="dxa"/>
              <w:right w:w="80" w:type="dxa"/>
            </w:tcMar>
          </w:tcPr>
          <w:p>
            <w:pPr>
              <w:jc w:val="center"/>
            </w:pPr>
            <w:r>
              <w:rPr>
                <w:color w:val="0F172A"/>
                <w:sz w:val="17"/>
              </w:rPr>
              <w:t>310.560</w:t>
            </w:r>
          </w:p>
        </w:tc>
        <w:tc>
          <w:tcPr>
            <w:tcW w:type="dxa" w:w="648"/>
            <w:shd w:fill="FFFFFF"/>
            <w:tcMar>
              <w:top w:w="60" w:type="dxa"/>
              <w:bottom w:w="60" w:type="dxa"/>
              <w:left w:w="80" w:type="dxa"/>
              <w:right w:w="80" w:type="dxa"/>
            </w:tcMar>
          </w:tcPr>
          <w:p>
            <w:pPr>
              <w:jc w:val="center"/>
            </w:pPr>
            <w:r>
              <w:rPr>
                <w:color w:val="0F172A"/>
                <w:sz w:val="17"/>
              </w:rPr>
              <w:t>2165.61</w:t>
            </w:r>
          </w:p>
        </w:tc>
        <w:tc>
          <w:tcPr>
            <w:tcW w:type="dxa" w:w="648"/>
            <w:shd w:fill="FFFFFF"/>
            <w:tcMar>
              <w:top w:w="60" w:type="dxa"/>
              <w:bottom w:w="60" w:type="dxa"/>
              <w:left w:w="80" w:type="dxa"/>
              <w:right w:w="80" w:type="dxa"/>
            </w:tcMar>
          </w:tcPr>
          <w:p>
            <w:pPr>
              <w:jc w:val="center"/>
            </w:pPr>
            <w:r>
              <w:rPr>
                <w:color w:val="0F172A"/>
                <w:sz w:val="17"/>
              </w:rPr>
              <w:t>679.529</w:t>
            </w:r>
          </w:p>
        </w:tc>
        <w:tc>
          <w:tcPr>
            <w:tcW w:type="dxa" w:w="504"/>
            <w:shd w:fill="FFFFFF"/>
            <w:tcMar>
              <w:top w:w="60" w:type="dxa"/>
              <w:bottom w:w="60" w:type="dxa"/>
              <w:left w:w="80" w:type="dxa"/>
              <w:right w:w="80" w:type="dxa"/>
            </w:tcMar>
          </w:tcPr>
          <w:p>
            <w:pPr>
              <w:jc w:val="center"/>
            </w:pPr>
            <w:r>
              <w:rPr>
                <w:color w:val="0F172A"/>
                <w:sz w:val="17"/>
              </w:rPr>
              <w:t>14.49</w:t>
            </w:r>
          </w:p>
        </w:tc>
        <w:tc>
          <w:tcPr>
            <w:tcW w:type="dxa" w:w="504"/>
            <w:shd w:fill="FFFFFF"/>
            <w:tcMar>
              <w:top w:w="60" w:type="dxa"/>
              <w:bottom w:w="60" w:type="dxa"/>
              <w:left w:w="80" w:type="dxa"/>
              <w:right w:w="80" w:type="dxa"/>
            </w:tcMar>
          </w:tcPr>
          <w:p>
            <w:pPr>
              <w:jc w:val="center"/>
            </w:pPr>
            <w:r>
              <w:rPr>
                <w:color w:val="0F172A"/>
                <w:sz w:val="17"/>
              </w:rPr>
              <w:t>98.43</w:t>
            </w:r>
          </w:p>
        </w:tc>
        <w:tc>
          <w:tcPr>
            <w:tcW w:type="dxa" w:w="648"/>
            <w:shd w:fill="FFFFFF"/>
            <w:tcMar>
              <w:top w:w="60" w:type="dxa"/>
              <w:bottom w:w="60" w:type="dxa"/>
              <w:left w:w="80" w:type="dxa"/>
              <w:right w:w="80" w:type="dxa"/>
            </w:tcMar>
          </w:tcPr>
          <w:p>
            <w:pPr>
              <w:jc w:val="center"/>
            </w:pPr>
            <w:r>
              <w:rPr>
                <w:color w:val="0F172A"/>
                <w:sz w:val="17"/>
              </w:rPr>
              <w:t>875.25</w:t>
            </w:r>
          </w:p>
        </w:tc>
        <w:tc>
          <w:tcPr>
            <w:tcW w:type="dxa" w:w="648"/>
            <w:shd w:fill="FFFFFF"/>
            <w:tcMar>
              <w:top w:w="60" w:type="dxa"/>
              <w:bottom w:w="60" w:type="dxa"/>
              <w:left w:w="80" w:type="dxa"/>
              <w:right w:w="80" w:type="dxa"/>
            </w:tcMar>
          </w:tcPr>
          <w:p>
            <w:pPr>
              <w:jc w:val="center"/>
            </w:pPr>
            <w:r>
              <w:rPr>
                <w:color w:val="0F172A"/>
                <w:sz w:val="17"/>
              </w:rPr>
              <w:t>2165.61</w:t>
            </w:r>
          </w:p>
        </w:tc>
        <w:tc>
          <w:tcPr>
            <w:tcW w:type="dxa" w:w="576"/>
            <w:shd w:fill="FFFFFF"/>
            <w:tcMar>
              <w:top w:w="60" w:type="dxa"/>
              <w:bottom w:w="60" w:type="dxa"/>
              <w:left w:w="80" w:type="dxa"/>
              <w:right w:w="80" w:type="dxa"/>
            </w:tcMar>
          </w:tcPr>
          <w:p>
            <w:pPr>
              <w:jc w:val="center"/>
            </w:pPr>
            <w:r>
              <w:rPr>
                <w:color w:val="0F172A"/>
                <w:sz w:val="17"/>
              </w:rPr>
              <w:t>776.83</w:t>
            </w:r>
          </w:p>
        </w:tc>
        <w:tc>
          <w:tcPr>
            <w:tcW w:type="dxa" w:w="648"/>
            <w:shd w:fill="FFFFFF"/>
            <w:tcMar>
              <w:top w:w="60" w:type="dxa"/>
              <w:bottom w:w="60" w:type="dxa"/>
              <w:left w:w="80" w:type="dxa"/>
              <w:right w:w="80" w:type="dxa"/>
            </w:tcMar>
          </w:tcPr>
          <w:p>
            <w:pPr>
              <w:jc w:val="center"/>
            </w:pPr>
            <w:r>
              <w:rPr>
                <w:color w:val="0F172A"/>
                <w:sz w:val="17"/>
              </w:rPr>
              <w:t>+1.258</w:t>
            </w:r>
          </w:p>
        </w:tc>
        <w:tc>
          <w:tcPr>
            <w:tcW w:type="dxa" w:w="648"/>
            <w:shd w:fill="FFFFFF"/>
            <w:tcMar>
              <w:top w:w="60" w:type="dxa"/>
              <w:bottom w:w="60" w:type="dxa"/>
              <w:left w:w="80" w:type="dxa"/>
              <w:right w:w="80" w:type="dxa"/>
            </w:tcMar>
          </w:tcPr>
          <w:p>
            <w:pPr>
              <w:jc w:val="center"/>
            </w:pPr>
            <w:r>
              <w:rPr>
                <w:color w:val="0F172A"/>
                <w:sz w:val="17"/>
              </w:rPr>
              <w:t>+0.285</w:t>
            </w:r>
          </w:p>
        </w:tc>
      </w:tr>
      <w:tr>
        <w:tc>
          <w:tcPr>
            <w:tcW w:type="dxa" w:w="2160"/>
            <w:shd w:fill="F1F5F9"/>
            <w:tcMar>
              <w:top w:w="60" w:type="dxa"/>
              <w:bottom w:w="60" w:type="dxa"/>
              <w:left w:w="80" w:type="dxa"/>
              <w:right w:w="80" w:type="dxa"/>
            </w:tcMar>
          </w:tcPr>
          <w:p>
            <w:pPr>
              <w:jc w:val="left"/>
            </w:pPr>
            <w:r>
              <w:rPr>
                <w:color w:val="0F172A"/>
                <w:sz w:val="17"/>
              </w:rPr>
              <w:t>Quantity</w:t>
            </w:r>
          </w:p>
        </w:tc>
        <w:tc>
          <w:tcPr>
            <w:tcW w:type="dxa" w:w="576"/>
            <w:shd w:fill="F1F5F9"/>
            <w:tcMar>
              <w:top w:w="60" w:type="dxa"/>
              <w:bottom w:w="60" w:type="dxa"/>
              <w:left w:w="80" w:type="dxa"/>
              <w:right w:w="80" w:type="dxa"/>
            </w:tcMar>
          </w:tcPr>
          <w:p>
            <w:pPr>
              <w:jc w:val="center"/>
            </w:pPr>
            <w:r>
              <w:rPr>
                <w:color w:val="0F172A"/>
                <w:sz w:val="17"/>
              </w:rPr>
              <w:t>1,250</w:t>
            </w:r>
          </w:p>
        </w:tc>
        <w:tc>
          <w:tcPr>
            <w:tcW w:type="dxa" w:w="648"/>
            <w:shd w:fill="F1F5F9"/>
            <w:tcMar>
              <w:top w:w="60" w:type="dxa"/>
              <w:bottom w:w="60" w:type="dxa"/>
              <w:left w:w="80" w:type="dxa"/>
              <w:right w:w="80" w:type="dxa"/>
            </w:tcMar>
          </w:tcPr>
          <w:p>
            <w:pPr>
              <w:jc w:val="center"/>
            </w:pPr>
            <w:r>
              <w:rPr>
                <w:color w:val="0F172A"/>
                <w:sz w:val="17"/>
              </w:rPr>
              <w:t>3.4472</w:t>
            </w:r>
          </w:p>
        </w:tc>
        <w:tc>
          <w:tcPr>
            <w:tcW w:type="dxa" w:w="648"/>
            <w:shd w:fill="F1F5F9"/>
            <w:tcMar>
              <w:top w:w="60" w:type="dxa"/>
              <w:bottom w:w="60" w:type="dxa"/>
              <w:left w:w="80" w:type="dxa"/>
              <w:right w:w="80" w:type="dxa"/>
            </w:tcMar>
          </w:tcPr>
          <w:p>
            <w:pPr>
              <w:jc w:val="center"/>
            </w:pPr>
            <w:r>
              <w:rPr>
                <w:color w:val="0F172A"/>
                <w:sz w:val="17"/>
              </w:rPr>
              <w:t>2.0000</w:t>
            </w:r>
          </w:p>
        </w:tc>
        <w:tc>
          <w:tcPr>
            <w:tcW w:type="dxa" w:w="648"/>
            <w:shd w:fill="F1F5F9"/>
            <w:tcMar>
              <w:top w:w="60" w:type="dxa"/>
              <w:bottom w:w="60" w:type="dxa"/>
              <w:left w:w="80" w:type="dxa"/>
              <w:right w:w="80" w:type="dxa"/>
            </w:tcMar>
          </w:tcPr>
          <w:p>
            <w:pPr>
              <w:jc w:val="center"/>
            </w:pPr>
            <w:r>
              <w:rPr>
                <w:color w:val="0F172A"/>
                <w:sz w:val="17"/>
              </w:rPr>
              <w:t>1.0000</w:t>
            </w:r>
          </w:p>
        </w:tc>
        <w:tc>
          <w:tcPr>
            <w:tcW w:type="dxa" w:w="648"/>
            <w:shd w:fill="F1F5F9"/>
            <w:tcMar>
              <w:top w:w="60" w:type="dxa"/>
              <w:bottom w:w="60" w:type="dxa"/>
              <w:left w:w="80" w:type="dxa"/>
              <w:right w:w="80" w:type="dxa"/>
            </w:tcMar>
          </w:tcPr>
          <w:p>
            <w:pPr>
              <w:jc w:val="center"/>
            </w:pPr>
            <w:r>
              <w:rPr>
                <w:color w:val="0F172A"/>
                <w:sz w:val="17"/>
              </w:rPr>
              <w:t>4.6186</w:t>
            </w:r>
          </w:p>
        </w:tc>
        <w:tc>
          <w:tcPr>
            <w:tcW w:type="dxa" w:w="504"/>
            <w:shd w:fill="F1F5F9"/>
            <w:tcMar>
              <w:top w:w="60" w:type="dxa"/>
              <w:bottom w:w="60" w:type="dxa"/>
              <w:left w:w="80" w:type="dxa"/>
              <w:right w:w="80" w:type="dxa"/>
            </w:tcMar>
          </w:tcPr>
          <w:p>
            <w:pPr>
              <w:jc w:val="center"/>
            </w:pPr>
            <w:r>
              <w:rPr>
                <w:color w:val="0F172A"/>
                <w:sz w:val="17"/>
              </w:rPr>
              <w:t>1.00</w:t>
            </w:r>
          </w:p>
        </w:tc>
        <w:tc>
          <w:tcPr>
            <w:tcW w:type="dxa" w:w="504"/>
            <w:shd w:fill="F1F5F9"/>
            <w:tcMar>
              <w:top w:w="60" w:type="dxa"/>
              <w:bottom w:w="60" w:type="dxa"/>
              <w:left w:w="80" w:type="dxa"/>
              <w:right w:w="80" w:type="dxa"/>
            </w:tcMar>
          </w:tcPr>
          <w:p>
            <w:pPr>
              <w:jc w:val="center"/>
            </w:pPr>
            <w:r>
              <w:rPr>
                <w:color w:val="0F172A"/>
                <w:sz w:val="17"/>
              </w:rPr>
              <w:t>1.00</w:t>
            </w:r>
          </w:p>
        </w:tc>
        <w:tc>
          <w:tcPr>
            <w:tcW w:type="dxa" w:w="648"/>
            <w:shd w:fill="F1F5F9"/>
            <w:tcMar>
              <w:top w:w="60" w:type="dxa"/>
              <w:bottom w:w="60" w:type="dxa"/>
              <w:left w:w="80" w:type="dxa"/>
              <w:right w:w="80" w:type="dxa"/>
            </w:tcMar>
          </w:tcPr>
          <w:p>
            <w:pPr>
              <w:jc w:val="center"/>
            </w:pPr>
            <w:r>
              <w:rPr>
                <w:color w:val="0F172A"/>
                <w:sz w:val="17"/>
              </w:rPr>
              <w:t>4.00</w:t>
            </w:r>
          </w:p>
        </w:tc>
        <w:tc>
          <w:tcPr>
            <w:tcW w:type="dxa" w:w="648"/>
            <w:shd w:fill="F1F5F9"/>
            <w:tcMar>
              <w:top w:w="60" w:type="dxa"/>
              <w:bottom w:w="60" w:type="dxa"/>
              <w:left w:w="80" w:type="dxa"/>
              <w:right w:w="80" w:type="dxa"/>
            </w:tcMar>
          </w:tcPr>
          <w:p>
            <w:pPr>
              <w:jc w:val="center"/>
            </w:pPr>
            <w:r>
              <w:rPr>
                <w:color w:val="0F172A"/>
                <w:sz w:val="17"/>
              </w:rPr>
              <w:t>50.00</w:t>
            </w:r>
          </w:p>
        </w:tc>
        <w:tc>
          <w:tcPr>
            <w:tcW w:type="dxa" w:w="576"/>
            <w:shd w:fill="F1F5F9"/>
            <w:tcMar>
              <w:top w:w="60" w:type="dxa"/>
              <w:bottom w:w="60" w:type="dxa"/>
              <w:left w:w="80" w:type="dxa"/>
              <w:right w:w="80" w:type="dxa"/>
            </w:tcMar>
          </w:tcPr>
          <w:p>
            <w:pPr>
              <w:jc w:val="center"/>
            </w:pPr>
            <w:r>
              <w:rPr>
                <w:color w:val="0F172A"/>
                <w:sz w:val="17"/>
              </w:rPr>
              <w:t>3.00</w:t>
            </w:r>
          </w:p>
        </w:tc>
        <w:tc>
          <w:tcPr>
            <w:tcW w:type="dxa" w:w="648"/>
            <w:shd w:fill="F1F5F9"/>
            <w:tcMar>
              <w:top w:w="60" w:type="dxa"/>
              <w:bottom w:w="60" w:type="dxa"/>
              <w:left w:w="80" w:type="dxa"/>
              <w:right w:w="80" w:type="dxa"/>
            </w:tcMar>
          </w:tcPr>
          <w:p>
            <w:pPr>
              <w:jc w:val="center"/>
            </w:pPr>
            <w:r>
              <w:rPr>
                <w:color w:val="0F172A"/>
                <w:sz w:val="17"/>
              </w:rPr>
              <w:t>+5.568</w:t>
            </w:r>
          </w:p>
        </w:tc>
        <w:tc>
          <w:tcPr>
            <w:tcW w:type="dxa" w:w="648"/>
            <w:shd w:fill="F1F5F9"/>
            <w:tcMar>
              <w:top w:w="60" w:type="dxa"/>
              <w:bottom w:w="60" w:type="dxa"/>
              <w:left w:w="80" w:type="dxa"/>
              <w:right w:w="80" w:type="dxa"/>
            </w:tcMar>
          </w:tcPr>
          <w:p>
            <w:pPr>
              <w:jc w:val="center"/>
            </w:pPr>
            <w:r>
              <w:rPr>
                <w:color w:val="0F172A"/>
                <w:sz w:val="17"/>
              </w:rPr>
              <w:t>+41.56</w:t>
            </w:r>
          </w:p>
        </w:tc>
      </w:tr>
      <w:tr>
        <w:tc>
          <w:tcPr>
            <w:tcW w:type="dxa" w:w="2160"/>
            <w:shd w:fill="FFFFFF"/>
            <w:tcMar>
              <w:top w:w="60" w:type="dxa"/>
              <w:bottom w:w="60" w:type="dxa"/>
              <w:left w:w="80" w:type="dxa"/>
              <w:right w:w="80" w:type="dxa"/>
            </w:tcMar>
          </w:tcPr>
          <w:p>
            <w:pPr>
              <w:jc w:val="left"/>
            </w:pPr>
            <w:r>
              <w:rPr>
                <w:color w:val="0F172A"/>
                <w:sz w:val="17"/>
              </w:rPr>
              <w:t>Distance_KM</w:t>
            </w:r>
          </w:p>
        </w:tc>
        <w:tc>
          <w:tcPr>
            <w:tcW w:type="dxa" w:w="576"/>
            <w:shd w:fill="FFFFFF"/>
            <w:tcMar>
              <w:top w:w="60" w:type="dxa"/>
              <w:bottom w:w="60" w:type="dxa"/>
              <w:left w:w="80" w:type="dxa"/>
              <w:right w:w="80" w:type="dxa"/>
            </w:tcMar>
          </w:tcPr>
          <w:p>
            <w:pPr>
              <w:jc w:val="center"/>
            </w:pPr>
            <w:r>
              <w:rPr>
                <w:color w:val="0F172A"/>
                <w:sz w:val="17"/>
              </w:rPr>
              <w:t>1,250</w:t>
            </w:r>
          </w:p>
        </w:tc>
        <w:tc>
          <w:tcPr>
            <w:tcW w:type="dxa" w:w="648"/>
            <w:shd w:fill="FFFFFF"/>
            <w:tcMar>
              <w:top w:w="60" w:type="dxa"/>
              <w:bottom w:w="60" w:type="dxa"/>
              <w:left w:w="80" w:type="dxa"/>
              <w:right w:w="80" w:type="dxa"/>
            </w:tcMar>
          </w:tcPr>
          <w:p>
            <w:pPr>
              <w:jc w:val="center"/>
            </w:pPr>
            <w:r>
              <w:rPr>
                <w:color w:val="0F172A"/>
                <w:sz w:val="17"/>
              </w:rPr>
              <w:t>819.432</w:t>
            </w:r>
          </w:p>
        </w:tc>
        <w:tc>
          <w:tcPr>
            <w:tcW w:type="dxa" w:w="648"/>
            <w:shd w:fill="FFFFFF"/>
            <w:tcMar>
              <w:top w:w="60" w:type="dxa"/>
              <w:bottom w:w="60" w:type="dxa"/>
              <w:left w:w="80" w:type="dxa"/>
              <w:right w:w="80" w:type="dxa"/>
            </w:tcMar>
          </w:tcPr>
          <w:p>
            <w:pPr>
              <w:jc w:val="center"/>
            </w:pPr>
            <w:r>
              <w:rPr>
                <w:color w:val="0F172A"/>
                <w:sz w:val="17"/>
              </w:rPr>
              <w:t>761.350</w:t>
            </w:r>
          </w:p>
        </w:tc>
        <w:tc>
          <w:tcPr>
            <w:tcW w:type="dxa" w:w="648"/>
            <w:shd w:fill="FFFFFF"/>
            <w:tcMar>
              <w:top w:w="60" w:type="dxa"/>
              <w:bottom w:w="60" w:type="dxa"/>
              <w:left w:w="80" w:type="dxa"/>
              <w:right w:w="80" w:type="dxa"/>
            </w:tcMar>
          </w:tcPr>
          <w:p>
            <w:pPr>
              <w:jc w:val="center"/>
            </w:pPr>
            <w:r>
              <w:rPr>
                <w:color w:val="0F172A"/>
                <w:sz w:val="17"/>
              </w:rPr>
              <w:t>1886.88</w:t>
            </w:r>
          </w:p>
        </w:tc>
        <w:tc>
          <w:tcPr>
            <w:tcW w:type="dxa" w:w="648"/>
            <w:shd w:fill="FFFFFF"/>
            <w:tcMar>
              <w:top w:w="60" w:type="dxa"/>
              <w:bottom w:w="60" w:type="dxa"/>
              <w:left w:w="80" w:type="dxa"/>
              <w:right w:w="80" w:type="dxa"/>
            </w:tcMar>
          </w:tcPr>
          <w:p>
            <w:pPr>
              <w:jc w:val="center"/>
            </w:pPr>
            <w:r>
              <w:rPr>
                <w:color w:val="0F172A"/>
                <w:sz w:val="17"/>
              </w:rPr>
              <w:t>501.996</w:t>
            </w:r>
          </w:p>
        </w:tc>
        <w:tc>
          <w:tcPr>
            <w:tcW w:type="dxa" w:w="504"/>
            <w:shd w:fill="FFFFFF"/>
            <w:tcMar>
              <w:top w:w="60" w:type="dxa"/>
              <w:bottom w:w="60" w:type="dxa"/>
              <w:left w:w="80" w:type="dxa"/>
              <w:right w:w="80" w:type="dxa"/>
            </w:tcMar>
          </w:tcPr>
          <w:p>
            <w:pPr>
              <w:jc w:val="center"/>
            </w:pPr>
            <w:r>
              <w:rPr>
                <w:color w:val="0F172A"/>
                <w:sz w:val="17"/>
              </w:rPr>
              <w:t>52.40</w:t>
            </w:r>
          </w:p>
        </w:tc>
        <w:tc>
          <w:tcPr>
            <w:tcW w:type="dxa" w:w="504"/>
            <w:shd w:fill="FFFFFF"/>
            <w:tcMar>
              <w:top w:w="60" w:type="dxa"/>
              <w:bottom w:w="60" w:type="dxa"/>
              <w:left w:w="80" w:type="dxa"/>
              <w:right w:w="80" w:type="dxa"/>
            </w:tcMar>
          </w:tcPr>
          <w:p>
            <w:pPr>
              <w:jc w:val="center"/>
            </w:pPr>
            <w:r>
              <w:rPr>
                <w:color w:val="0F172A"/>
                <w:sz w:val="17"/>
              </w:rPr>
              <w:t>392.48</w:t>
            </w:r>
          </w:p>
        </w:tc>
        <w:tc>
          <w:tcPr>
            <w:tcW w:type="dxa" w:w="648"/>
            <w:shd w:fill="FFFFFF"/>
            <w:tcMar>
              <w:top w:w="60" w:type="dxa"/>
              <w:bottom w:w="60" w:type="dxa"/>
              <w:left w:w="80" w:type="dxa"/>
              <w:right w:w="80" w:type="dxa"/>
            </w:tcMar>
          </w:tcPr>
          <w:p>
            <w:pPr>
              <w:jc w:val="center"/>
            </w:pPr>
            <w:r>
              <w:rPr>
                <w:color w:val="0F172A"/>
                <w:sz w:val="17"/>
              </w:rPr>
              <w:t>1207.25</w:t>
            </w:r>
          </w:p>
        </w:tc>
        <w:tc>
          <w:tcPr>
            <w:tcW w:type="dxa" w:w="648"/>
            <w:shd w:fill="FFFFFF"/>
            <w:tcMar>
              <w:top w:w="60" w:type="dxa"/>
              <w:bottom w:w="60" w:type="dxa"/>
              <w:left w:w="80" w:type="dxa"/>
              <w:right w:w="80" w:type="dxa"/>
            </w:tcMar>
          </w:tcPr>
          <w:p>
            <w:pPr>
              <w:jc w:val="center"/>
            </w:pPr>
            <w:r>
              <w:rPr>
                <w:color w:val="0F172A"/>
                <w:sz w:val="17"/>
              </w:rPr>
              <w:t>1886.88</w:t>
            </w:r>
          </w:p>
        </w:tc>
        <w:tc>
          <w:tcPr>
            <w:tcW w:type="dxa" w:w="576"/>
            <w:shd w:fill="FFFFFF"/>
            <w:tcMar>
              <w:top w:w="60" w:type="dxa"/>
              <w:bottom w:w="60" w:type="dxa"/>
              <w:left w:w="80" w:type="dxa"/>
              <w:right w:w="80" w:type="dxa"/>
            </w:tcMar>
          </w:tcPr>
          <w:p>
            <w:pPr>
              <w:jc w:val="center"/>
            </w:pPr>
            <w:r>
              <w:rPr>
                <w:color w:val="0F172A"/>
                <w:sz w:val="17"/>
              </w:rPr>
              <w:t>814.78</w:t>
            </w:r>
          </w:p>
        </w:tc>
        <w:tc>
          <w:tcPr>
            <w:tcW w:type="dxa" w:w="648"/>
            <w:shd w:fill="FFFFFF"/>
            <w:tcMar>
              <w:top w:w="60" w:type="dxa"/>
              <w:bottom w:w="60" w:type="dxa"/>
              <w:left w:w="80" w:type="dxa"/>
              <w:right w:w="80" w:type="dxa"/>
            </w:tcMar>
          </w:tcPr>
          <w:p>
            <w:pPr>
              <w:jc w:val="center"/>
            </w:pPr>
            <w:r>
              <w:rPr>
                <w:color w:val="0F172A"/>
                <w:sz w:val="17"/>
              </w:rPr>
              <w:t>+0.495</w:t>
            </w:r>
          </w:p>
        </w:tc>
        <w:tc>
          <w:tcPr>
            <w:tcW w:type="dxa" w:w="648"/>
            <w:shd w:fill="FFFFFF"/>
            <w:tcMar>
              <w:top w:w="60" w:type="dxa"/>
              <w:bottom w:w="60" w:type="dxa"/>
              <w:left w:w="80" w:type="dxa"/>
              <w:right w:w="80" w:type="dxa"/>
            </w:tcMar>
          </w:tcPr>
          <w:p>
            <w:pPr>
              <w:jc w:val="center"/>
            </w:pPr>
            <w:r>
              <w:rPr>
                <w:color w:val="0F172A"/>
                <w:sz w:val="17"/>
              </w:rPr>
              <w:t>-0.638</w:t>
            </w:r>
          </w:p>
        </w:tc>
      </w:tr>
      <w:tr>
        <w:tc>
          <w:tcPr>
            <w:tcW w:type="dxa" w:w="2160"/>
            <w:shd w:fill="F1F5F9"/>
            <w:tcMar>
              <w:top w:w="60" w:type="dxa"/>
              <w:bottom w:w="60" w:type="dxa"/>
              <w:left w:w="80" w:type="dxa"/>
              <w:right w:w="80" w:type="dxa"/>
            </w:tcMar>
          </w:tcPr>
          <w:p>
            <w:pPr>
              <w:jc w:val="left"/>
            </w:pPr>
            <w:r>
              <w:rPr>
                <w:color w:val="0F172A"/>
                <w:sz w:val="17"/>
              </w:rPr>
              <w:t>Order_Processing_Days</w:t>
            </w:r>
          </w:p>
        </w:tc>
        <w:tc>
          <w:tcPr>
            <w:tcW w:type="dxa" w:w="576"/>
            <w:shd w:fill="F1F5F9"/>
            <w:tcMar>
              <w:top w:w="60" w:type="dxa"/>
              <w:bottom w:w="60" w:type="dxa"/>
              <w:left w:w="80" w:type="dxa"/>
              <w:right w:w="80" w:type="dxa"/>
            </w:tcMar>
          </w:tcPr>
          <w:p>
            <w:pPr>
              <w:jc w:val="center"/>
            </w:pPr>
            <w:r>
              <w:rPr>
                <w:color w:val="0F172A"/>
                <w:sz w:val="17"/>
              </w:rPr>
              <w:t>1,250</w:t>
            </w:r>
          </w:p>
        </w:tc>
        <w:tc>
          <w:tcPr>
            <w:tcW w:type="dxa" w:w="648"/>
            <w:shd w:fill="F1F5F9"/>
            <w:tcMar>
              <w:top w:w="60" w:type="dxa"/>
              <w:bottom w:w="60" w:type="dxa"/>
              <w:left w:w="80" w:type="dxa"/>
              <w:right w:w="80" w:type="dxa"/>
            </w:tcMar>
          </w:tcPr>
          <w:p>
            <w:pPr>
              <w:jc w:val="center"/>
            </w:pPr>
            <w:r>
              <w:rPr>
                <w:color w:val="0F172A"/>
                <w:sz w:val="17"/>
              </w:rPr>
              <w:t>2.4320</w:t>
            </w:r>
          </w:p>
        </w:tc>
        <w:tc>
          <w:tcPr>
            <w:tcW w:type="dxa" w:w="648"/>
            <w:shd w:fill="F1F5F9"/>
            <w:tcMar>
              <w:top w:w="60" w:type="dxa"/>
              <w:bottom w:w="60" w:type="dxa"/>
              <w:left w:w="80" w:type="dxa"/>
              <w:right w:w="80" w:type="dxa"/>
            </w:tcMar>
          </w:tcPr>
          <w:p>
            <w:pPr>
              <w:jc w:val="center"/>
            </w:pPr>
            <w:r>
              <w:rPr>
                <w:color w:val="0F172A"/>
                <w:sz w:val="17"/>
              </w:rPr>
              <w:t>2.0000</w:t>
            </w:r>
          </w:p>
        </w:tc>
        <w:tc>
          <w:tcPr>
            <w:tcW w:type="dxa" w:w="648"/>
            <w:shd w:fill="F1F5F9"/>
            <w:tcMar>
              <w:top w:w="60" w:type="dxa"/>
              <w:bottom w:w="60" w:type="dxa"/>
              <w:left w:w="80" w:type="dxa"/>
              <w:right w:w="80" w:type="dxa"/>
            </w:tcMar>
          </w:tcPr>
          <w:p>
            <w:pPr>
              <w:jc w:val="center"/>
            </w:pPr>
            <w:r>
              <w:rPr>
                <w:color w:val="0F172A"/>
                <w:sz w:val="17"/>
              </w:rPr>
              <w:t>1.0000</w:t>
            </w:r>
          </w:p>
        </w:tc>
        <w:tc>
          <w:tcPr>
            <w:tcW w:type="dxa" w:w="648"/>
            <w:shd w:fill="F1F5F9"/>
            <w:tcMar>
              <w:top w:w="60" w:type="dxa"/>
              <w:bottom w:w="60" w:type="dxa"/>
              <w:left w:w="80" w:type="dxa"/>
              <w:right w:w="80" w:type="dxa"/>
            </w:tcMar>
          </w:tcPr>
          <w:p>
            <w:pPr>
              <w:jc w:val="center"/>
            </w:pPr>
            <w:r>
              <w:rPr>
                <w:color w:val="0F172A"/>
                <w:sz w:val="17"/>
              </w:rPr>
              <w:t>1.1169</w:t>
            </w:r>
          </w:p>
        </w:tc>
        <w:tc>
          <w:tcPr>
            <w:tcW w:type="dxa" w:w="504"/>
            <w:shd w:fill="F1F5F9"/>
            <w:tcMar>
              <w:top w:w="60" w:type="dxa"/>
              <w:bottom w:w="60" w:type="dxa"/>
              <w:left w:w="80" w:type="dxa"/>
              <w:right w:w="80" w:type="dxa"/>
            </w:tcMar>
          </w:tcPr>
          <w:p>
            <w:pPr>
              <w:jc w:val="center"/>
            </w:pPr>
            <w:r>
              <w:rPr>
                <w:color w:val="0F172A"/>
                <w:sz w:val="17"/>
              </w:rPr>
              <w:t>1.00</w:t>
            </w:r>
          </w:p>
        </w:tc>
        <w:tc>
          <w:tcPr>
            <w:tcW w:type="dxa" w:w="504"/>
            <w:shd w:fill="F1F5F9"/>
            <w:tcMar>
              <w:top w:w="60" w:type="dxa"/>
              <w:bottom w:w="60" w:type="dxa"/>
              <w:left w:w="80" w:type="dxa"/>
              <w:right w:w="80" w:type="dxa"/>
            </w:tcMar>
          </w:tcPr>
          <w:p>
            <w:pPr>
              <w:jc w:val="center"/>
            </w:pPr>
            <w:r>
              <w:rPr>
                <w:color w:val="0F172A"/>
                <w:sz w:val="17"/>
              </w:rPr>
              <w:t>1.00</w:t>
            </w:r>
          </w:p>
        </w:tc>
        <w:tc>
          <w:tcPr>
            <w:tcW w:type="dxa" w:w="648"/>
            <w:shd w:fill="F1F5F9"/>
            <w:tcMar>
              <w:top w:w="60" w:type="dxa"/>
              <w:bottom w:w="60" w:type="dxa"/>
              <w:left w:w="80" w:type="dxa"/>
              <w:right w:w="80" w:type="dxa"/>
            </w:tcMar>
          </w:tcPr>
          <w:p>
            <w:pPr>
              <w:jc w:val="center"/>
            </w:pPr>
            <w:r>
              <w:rPr>
                <w:color w:val="0F172A"/>
                <w:sz w:val="17"/>
              </w:rPr>
              <w:t>3.00</w:t>
            </w:r>
          </w:p>
        </w:tc>
        <w:tc>
          <w:tcPr>
            <w:tcW w:type="dxa" w:w="648"/>
            <w:shd w:fill="F1F5F9"/>
            <w:tcMar>
              <w:top w:w="60" w:type="dxa"/>
              <w:bottom w:w="60" w:type="dxa"/>
              <w:left w:w="80" w:type="dxa"/>
              <w:right w:w="80" w:type="dxa"/>
            </w:tcMar>
          </w:tcPr>
          <w:p>
            <w:pPr>
              <w:jc w:val="center"/>
            </w:pPr>
            <w:r>
              <w:rPr>
                <w:color w:val="0F172A"/>
                <w:sz w:val="17"/>
              </w:rPr>
              <w:t>4.00</w:t>
            </w:r>
          </w:p>
        </w:tc>
        <w:tc>
          <w:tcPr>
            <w:tcW w:type="dxa" w:w="576"/>
            <w:shd w:fill="F1F5F9"/>
            <w:tcMar>
              <w:top w:w="60" w:type="dxa"/>
              <w:bottom w:w="60" w:type="dxa"/>
              <w:left w:w="80" w:type="dxa"/>
              <w:right w:w="80" w:type="dxa"/>
            </w:tcMar>
          </w:tcPr>
          <w:p>
            <w:pPr>
              <w:jc w:val="center"/>
            </w:pPr>
            <w:r>
              <w:rPr>
                <w:color w:val="0F172A"/>
                <w:sz w:val="17"/>
              </w:rPr>
              <w:t>2.00</w:t>
            </w:r>
          </w:p>
        </w:tc>
        <w:tc>
          <w:tcPr>
            <w:tcW w:type="dxa" w:w="648"/>
            <w:shd w:fill="F1F5F9"/>
            <w:tcMar>
              <w:top w:w="60" w:type="dxa"/>
              <w:bottom w:w="60" w:type="dxa"/>
              <w:left w:w="80" w:type="dxa"/>
              <w:right w:w="80" w:type="dxa"/>
            </w:tcMar>
          </w:tcPr>
          <w:p>
            <w:pPr>
              <w:jc w:val="center"/>
            </w:pPr>
            <w:r>
              <w:rPr>
                <w:color w:val="0F172A"/>
                <w:sz w:val="17"/>
              </w:rPr>
              <w:t>+0.108</w:t>
            </w:r>
          </w:p>
        </w:tc>
        <w:tc>
          <w:tcPr>
            <w:tcW w:type="dxa" w:w="648"/>
            <w:shd w:fill="F1F5F9"/>
            <w:tcMar>
              <w:top w:w="60" w:type="dxa"/>
              <w:bottom w:w="60" w:type="dxa"/>
              <w:left w:w="80" w:type="dxa"/>
              <w:right w:w="80" w:type="dxa"/>
            </w:tcMar>
          </w:tcPr>
          <w:p>
            <w:pPr>
              <w:jc w:val="center"/>
            </w:pPr>
            <w:r>
              <w:rPr>
                <w:color w:val="0F172A"/>
                <w:sz w:val="17"/>
              </w:rPr>
              <w:t>-1.332</w:t>
            </w:r>
          </w:p>
        </w:tc>
      </w:tr>
      <w:tr>
        <w:tc>
          <w:tcPr>
            <w:tcW w:type="dxa" w:w="2160"/>
            <w:shd w:fill="FFFFFF"/>
            <w:tcMar>
              <w:top w:w="60" w:type="dxa"/>
              <w:bottom w:w="60" w:type="dxa"/>
              <w:left w:w="80" w:type="dxa"/>
              <w:right w:w="80" w:type="dxa"/>
            </w:tcMar>
          </w:tcPr>
          <w:p>
            <w:pPr>
              <w:jc w:val="left"/>
            </w:pPr>
            <w:r>
              <w:rPr>
                <w:color w:val="0F172A"/>
                <w:sz w:val="17"/>
              </w:rPr>
              <w:t>Customer_Rating</w:t>
            </w:r>
          </w:p>
        </w:tc>
        <w:tc>
          <w:tcPr>
            <w:tcW w:type="dxa" w:w="576"/>
            <w:shd w:fill="FFFFFF"/>
            <w:tcMar>
              <w:top w:w="60" w:type="dxa"/>
              <w:bottom w:w="60" w:type="dxa"/>
              <w:left w:w="80" w:type="dxa"/>
              <w:right w:w="80" w:type="dxa"/>
            </w:tcMar>
          </w:tcPr>
          <w:p>
            <w:pPr>
              <w:jc w:val="center"/>
            </w:pPr>
            <w:r>
              <w:rPr>
                <w:color w:val="0F172A"/>
                <w:sz w:val="17"/>
              </w:rPr>
              <w:t>1,250</w:t>
            </w:r>
          </w:p>
        </w:tc>
        <w:tc>
          <w:tcPr>
            <w:tcW w:type="dxa" w:w="648"/>
            <w:shd w:fill="FFFFFF"/>
            <w:tcMar>
              <w:top w:w="60" w:type="dxa"/>
              <w:bottom w:w="60" w:type="dxa"/>
              <w:left w:w="80" w:type="dxa"/>
              <w:right w:w="80" w:type="dxa"/>
            </w:tcMar>
          </w:tcPr>
          <w:p>
            <w:pPr>
              <w:jc w:val="center"/>
            </w:pPr>
            <w:r>
              <w:rPr>
                <w:color w:val="0F172A"/>
                <w:sz w:val="17"/>
              </w:rPr>
              <w:t>3.6328</w:t>
            </w:r>
          </w:p>
        </w:tc>
        <w:tc>
          <w:tcPr>
            <w:tcW w:type="dxa" w:w="648"/>
            <w:shd w:fill="FFFFFF"/>
            <w:tcMar>
              <w:top w:w="60" w:type="dxa"/>
              <w:bottom w:w="60" w:type="dxa"/>
              <w:left w:w="80" w:type="dxa"/>
              <w:right w:w="80" w:type="dxa"/>
            </w:tcMar>
          </w:tcPr>
          <w:p>
            <w:pPr>
              <w:jc w:val="center"/>
            </w:pPr>
            <w:r>
              <w:rPr>
                <w:color w:val="0F172A"/>
                <w:sz w:val="17"/>
              </w:rPr>
              <w:t>4.0000</w:t>
            </w:r>
          </w:p>
        </w:tc>
        <w:tc>
          <w:tcPr>
            <w:tcW w:type="dxa" w:w="648"/>
            <w:shd w:fill="FFFFFF"/>
            <w:tcMar>
              <w:top w:w="60" w:type="dxa"/>
              <w:bottom w:w="60" w:type="dxa"/>
              <w:left w:w="80" w:type="dxa"/>
              <w:right w:w="80" w:type="dxa"/>
            </w:tcMar>
          </w:tcPr>
          <w:p>
            <w:pPr>
              <w:jc w:val="center"/>
            </w:pPr>
            <w:r>
              <w:rPr>
                <w:color w:val="0F172A"/>
                <w:sz w:val="17"/>
              </w:rPr>
              <w:t>4.0000</w:t>
            </w:r>
          </w:p>
        </w:tc>
        <w:tc>
          <w:tcPr>
            <w:tcW w:type="dxa" w:w="648"/>
            <w:shd w:fill="FFFFFF"/>
            <w:tcMar>
              <w:top w:w="60" w:type="dxa"/>
              <w:bottom w:w="60" w:type="dxa"/>
              <w:left w:w="80" w:type="dxa"/>
              <w:right w:w="80" w:type="dxa"/>
            </w:tcMar>
          </w:tcPr>
          <w:p>
            <w:pPr>
              <w:jc w:val="center"/>
            </w:pPr>
            <w:r>
              <w:rPr>
                <w:color w:val="0F172A"/>
                <w:sz w:val="17"/>
              </w:rPr>
              <w:t>1.1578</w:t>
            </w:r>
          </w:p>
        </w:tc>
        <w:tc>
          <w:tcPr>
            <w:tcW w:type="dxa" w:w="504"/>
            <w:shd w:fill="FFFFFF"/>
            <w:tcMar>
              <w:top w:w="60" w:type="dxa"/>
              <w:bottom w:w="60" w:type="dxa"/>
              <w:left w:w="80" w:type="dxa"/>
              <w:right w:w="80" w:type="dxa"/>
            </w:tcMar>
          </w:tcPr>
          <w:p>
            <w:pPr>
              <w:jc w:val="center"/>
            </w:pPr>
            <w:r>
              <w:rPr>
                <w:color w:val="0F172A"/>
                <w:sz w:val="17"/>
              </w:rPr>
              <w:t>1.00</w:t>
            </w:r>
          </w:p>
        </w:tc>
        <w:tc>
          <w:tcPr>
            <w:tcW w:type="dxa" w:w="504"/>
            <w:shd w:fill="FFFFFF"/>
            <w:tcMar>
              <w:top w:w="60" w:type="dxa"/>
              <w:bottom w:w="60" w:type="dxa"/>
              <w:left w:w="80" w:type="dxa"/>
              <w:right w:w="80" w:type="dxa"/>
            </w:tcMar>
          </w:tcPr>
          <w:p>
            <w:pPr>
              <w:jc w:val="center"/>
            </w:pPr>
            <w:r>
              <w:rPr>
                <w:color w:val="0F172A"/>
                <w:sz w:val="17"/>
              </w:rPr>
              <w:t>3.00</w:t>
            </w:r>
          </w:p>
        </w:tc>
        <w:tc>
          <w:tcPr>
            <w:tcW w:type="dxa" w:w="648"/>
            <w:shd w:fill="FFFFFF"/>
            <w:tcMar>
              <w:top w:w="60" w:type="dxa"/>
              <w:bottom w:w="60" w:type="dxa"/>
              <w:left w:w="80" w:type="dxa"/>
              <w:right w:w="80" w:type="dxa"/>
            </w:tcMar>
          </w:tcPr>
          <w:p>
            <w:pPr>
              <w:jc w:val="center"/>
            </w:pPr>
            <w:r>
              <w:rPr>
                <w:color w:val="0F172A"/>
                <w:sz w:val="17"/>
              </w:rPr>
              <w:t>4.75</w:t>
            </w:r>
          </w:p>
        </w:tc>
        <w:tc>
          <w:tcPr>
            <w:tcW w:type="dxa" w:w="648"/>
            <w:shd w:fill="FFFFFF"/>
            <w:tcMar>
              <w:top w:w="60" w:type="dxa"/>
              <w:bottom w:w="60" w:type="dxa"/>
              <w:left w:w="80" w:type="dxa"/>
              <w:right w:w="80" w:type="dxa"/>
            </w:tcMar>
          </w:tcPr>
          <w:p>
            <w:pPr>
              <w:jc w:val="center"/>
            </w:pPr>
            <w:r>
              <w:rPr>
                <w:color w:val="0F172A"/>
                <w:sz w:val="17"/>
              </w:rPr>
              <w:t>5.00</w:t>
            </w:r>
          </w:p>
        </w:tc>
        <w:tc>
          <w:tcPr>
            <w:tcW w:type="dxa" w:w="576"/>
            <w:shd w:fill="FFFFFF"/>
            <w:tcMar>
              <w:top w:w="60" w:type="dxa"/>
              <w:bottom w:w="60" w:type="dxa"/>
              <w:left w:w="80" w:type="dxa"/>
              <w:right w:w="80" w:type="dxa"/>
            </w:tcMar>
          </w:tcPr>
          <w:p>
            <w:pPr>
              <w:jc w:val="center"/>
            </w:pPr>
            <w:r>
              <w:rPr>
                <w:color w:val="0F172A"/>
                <w:sz w:val="17"/>
              </w:rPr>
              <w:t>1.75</w:t>
            </w:r>
          </w:p>
        </w:tc>
        <w:tc>
          <w:tcPr>
            <w:tcW w:type="dxa" w:w="648"/>
            <w:shd w:fill="FFFFFF"/>
            <w:tcMar>
              <w:top w:w="60" w:type="dxa"/>
              <w:bottom w:w="60" w:type="dxa"/>
              <w:left w:w="80" w:type="dxa"/>
              <w:right w:w="80" w:type="dxa"/>
            </w:tcMar>
          </w:tcPr>
          <w:p>
            <w:pPr>
              <w:jc w:val="center"/>
            </w:pPr>
            <w:r>
              <w:rPr>
                <w:color w:val="0F172A"/>
                <w:sz w:val="17"/>
              </w:rPr>
              <w:t>-0.610</w:t>
            </w:r>
          </w:p>
        </w:tc>
        <w:tc>
          <w:tcPr>
            <w:tcW w:type="dxa" w:w="648"/>
            <w:shd w:fill="FFFFFF"/>
            <w:tcMar>
              <w:top w:w="60" w:type="dxa"/>
              <w:bottom w:w="60" w:type="dxa"/>
              <w:left w:w="80" w:type="dxa"/>
              <w:right w:w="80" w:type="dxa"/>
            </w:tcMar>
          </w:tcPr>
          <w:p>
            <w:pPr>
              <w:jc w:val="center"/>
            </w:pPr>
            <w:r>
              <w:rPr>
                <w:color w:val="0F172A"/>
                <w:sz w:val="17"/>
              </w:rPr>
              <w:t>-0.499</w:t>
            </w:r>
          </w:p>
        </w:tc>
      </w:tr>
      <w:tr>
        <w:tc>
          <w:tcPr>
            <w:tcW w:type="dxa" w:w="2160"/>
            <w:shd w:fill="F1F5F9"/>
            <w:tcMar>
              <w:top w:w="60" w:type="dxa"/>
              <w:bottom w:w="60" w:type="dxa"/>
              <w:left w:w="80" w:type="dxa"/>
              <w:right w:w="80" w:type="dxa"/>
            </w:tcMar>
          </w:tcPr>
          <w:p>
            <w:pPr>
              <w:jc w:val="left"/>
            </w:pPr>
            <w:r>
              <w:rPr>
                <w:color w:val="0F172A"/>
                <w:sz w:val="17"/>
              </w:rPr>
              <w:t>Cost_Per_KM</w:t>
            </w:r>
          </w:p>
        </w:tc>
        <w:tc>
          <w:tcPr>
            <w:tcW w:type="dxa" w:w="576"/>
            <w:shd w:fill="F1F5F9"/>
            <w:tcMar>
              <w:top w:w="60" w:type="dxa"/>
              <w:bottom w:w="60" w:type="dxa"/>
              <w:left w:w="80" w:type="dxa"/>
              <w:right w:w="80" w:type="dxa"/>
            </w:tcMar>
          </w:tcPr>
          <w:p>
            <w:pPr>
              <w:jc w:val="center"/>
            </w:pPr>
            <w:r>
              <w:rPr>
                <w:color w:val="0F172A"/>
                <w:sz w:val="17"/>
              </w:rPr>
              <w:t>1,250</w:t>
            </w:r>
          </w:p>
        </w:tc>
        <w:tc>
          <w:tcPr>
            <w:tcW w:type="dxa" w:w="648"/>
            <w:shd w:fill="F1F5F9"/>
            <w:tcMar>
              <w:top w:w="60" w:type="dxa"/>
              <w:bottom w:w="60" w:type="dxa"/>
              <w:left w:w="80" w:type="dxa"/>
              <w:right w:w="80" w:type="dxa"/>
            </w:tcMar>
          </w:tcPr>
          <w:p>
            <w:pPr>
              <w:jc w:val="center"/>
            </w:pPr>
            <w:r>
              <w:rPr>
                <w:color w:val="0F172A"/>
                <w:sz w:val="17"/>
              </w:rPr>
              <w:t>0.1302</w:t>
            </w:r>
          </w:p>
        </w:tc>
        <w:tc>
          <w:tcPr>
            <w:tcW w:type="dxa" w:w="648"/>
            <w:shd w:fill="F1F5F9"/>
            <w:tcMar>
              <w:top w:w="60" w:type="dxa"/>
              <w:bottom w:w="60" w:type="dxa"/>
              <w:left w:w="80" w:type="dxa"/>
              <w:right w:w="80" w:type="dxa"/>
            </w:tcMar>
          </w:tcPr>
          <w:p>
            <w:pPr>
              <w:jc w:val="center"/>
            </w:pPr>
            <w:r>
              <w:rPr>
                <w:color w:val="0F172A"/>
                <w:sz w:val="17"/>
              </w:rPr>
              <w:t>0.0883</w:t>
            </w:r>
          </w:p>
        </w:tc>
        <w:tc>
          <w:tcPr>
            <w:tcW w:type="dxa" w:w="648"/>
            <w:shd w:fill="F1F5F9"/>
            <w:tcMar>
              <w:top w:w="60" w:type="dxa"/>
              <w:bottom w:w="60" w:type="dxa"/>
              <w:left w:w="80" w:type="dxa"/>
              <w:right w:w="80" w:type="dxa"/>
            </w:tcMar>
          </w:tcPr>
          <w:p>
            <w:pPr>
              <w:jc w:val="center"/>
            </w:pPr>
            <w:r>
              <w:rPr>
                <w:color w:val="0F172A"/>
                <w:sz w:val="17"/>
              </w:rPr>
              <w:t>0.0525</w:t>
            </w:r>
          </w:p>
        </w:tc>
        <w:tc>
          <w:tcPr>
            <w:tcW w:type="dxa" w:w="648"/>
            <w:shd w:fill="F1F5F9"/>
            <w:tcMar>
              <w:top w:w="60" w:type="dxa"/>
              <w:bottom w:w="60" w:type="dxa"/>
              <w:left w:w="80" w:type="dxa"/>
              <w:right w:w="80" w:type="dxa"/>
            </w:tcMar>
          </w:tcPr>
          <w:p>
            <w:pPr>
              <w:jc w:val="center"/>
            </w:pPr>
            <w:r>
              <w:rPr>
                <w:color w:val="0F172A"/>
                <w:sz w:val="17"/>
              </w:rPr>
              <w:t>0.1097</w:t>
            </w:r>
          </w:p>
        </w:tc>
        <w:tc>
          <w:tcPr>
            <w:tcW w:type="dxa" w:w="504"/>
            <w:shd w:fill="F1F5F9"/>
            <w:tcMar>
              <w:top w:w="60" w:type="dxa"/>
              <w:bottom w:w="60" w:type="dxa"/>
              <w:left w:w="80" w:type="dxa"/>
              <w:right w:w="80" w:type="dxa"/>
            </w:tcMar>
          </w:tcPr>
          <w:p>
            <w:pPr>
              <w:jc w:val="center"/>
            </w:pPr>
            <w:r>
              <w:rPr>
                <w:color w:val="0F172A"/>
                <w:sz w:val="17"/>
              </w:rPr>
              <w:t>0.0108</w:t>
            </w:r>
          </w:p>
        </w:tc>
        <w:tc>
          <w:tcPr>
            <w:tcW w:type="dxa" w:w="504"/>
            <w:shd w:fill="F1F5F9"/>
            <w:tcMar>
              <w:top w:w="60" w:type="dxa"/>
              <w:bottom w:w="60" w:type="dxa"/>
              <w:left w:w="80" w:type="dxa"/>
              <w:right w:w="80" w:type="dxa"/>
            </w:tcMar>
          </w:tcPr>
          <w:p>
            <w:pPr>
              <w:jc w:val="center"/>
            </w:pPr>
            <w:r>
              <w:rPr>
                <w:color w:val="0F172A"/>
                <w:sz w:val="17"/>
              </w:rPr>
              <w:t>0.0573</w:t>
            </w:r>
          </w:p>
        </w:tc>
        <w:tc>
          <w:tcPr>
            <w:tcW w:type="dxa" w:w="648"/>
            <w:shd w:fill="F1F5F9"/>
            <w:tcMar>
              <w:top w:w="60" w:type="dxa"/>
              <w:bottom w:w="60" w:type="dxa"/>
              <w:left w:w="80" w:type="dxa"/>
              <w:right w:w="80" w:type="dxa"/>
            </w:tcMar>
          </w:tcPr>
          <w:p>
            <w:pPr>
              <w:jc w:val="center"/>
            </w:pPr>
            <w:r>
              <w:rPr>
                <w:color w:val="0F172A"/>
                <w:sz w:val="17"/>
              </w:rPr>
              <w:t>0.1652</w:t>
            </w:r>
          </w:p>
        </w:tc>
        <w:tc>
          <w:tcPr>
            <w:tcW w:type="dxa" w:w="648"/>
            <w:shd w:fill="F1F5F9"/>
            <w:tcMar>
              <w:top w:w="60" w:type="dxa"/>
              <w:bottom w:w="60" w:type="dxa"/>
              <w:left w:w="80" w:type="dxa"/>
              <w:right w:w="80" w:type="dxa"/>
            </w:tcMar>
          </w:tcPr>
          <w:p>
            <w:pPr>
              <w:jc w:val="center"/>
            </w:pPr>
            <w:r>
              <w:rPr>
                <w:color w:val="0F172A"/>
                <w:sz w:val="17"/>
              </w:rPr>
              <w:t>0.8540</w:t>
            </w:r>
          </w:p>
        </w:tc>
        <w:tc>
          <w:tcPr>
            <w:tcW w:type="dxa" w:w="576"/>
            <w:shd w:fill="F1F5F9"/>
            <w:tcMar>
              <w:top w:w="60" w:type="dxa"/>
              <w:bottom w:w="60" w:type="dxa"/>
              <w:left w:w="80" w:type="dxa"/>
              <w:right w:w="80" w:type="dxa"/>
            </w:tcMar>
          </w:tcPr>
          <w:p>
            <w:pPr>
              <w:jc w:val="center"/>
            </w:pPr>
            <w:r>
              <w:rPr>
                <w:color w:val="0F172A"/>
                <w:sz w:val="17"/>
              </w:rPr>
              <w:t>0.1079</w:t>
            </w:r>
          </w:p>
        </w:tc>
        <w:tc>
          <w:tcPr>
            <w:tcW w:type="dxa" w:w="648"/>
            <w:shd w:fill="F1F5F9"/>
            <w:tcMar>
              <w:top w:w="60" w:type="dxa"/>
              <w:bottom w:w="60" w:type="dxa"/>
              <w:left w:w="80" w:type="dxa"/>
              <w:right w:w="80" w:type="dxa"/>
            </w:tcMar>
          </w:tcPr>
          <w:p>
            <w:pPr>
              <w:jc w:val="center"/>
            </w:pPr>
            <w:r>
              <w:rPr>
                <w:color w:val="0F172A"/>
                <w:sz w:val="17"/>
              </w:rPr>
              <w:t>+2.379</w:t>
            </w:r>
          </w:p>
        </w:tc>
        <w:tc>
          <w:tcPr>
            <w:tcW w:type="dxa" w:w="648"/>
            <w:shd w:fill="F1F5F9"/>
            <w:tcMar>
              <w:top w:w="60" w:type="dxa"/>
              <w:bottom w:w="60" w:type="dxa"/>
              <w:left w:w="80" w:type="dxa"/>
              <w:right w:w="80" w:type="dxa"/>
            </w:tcMar>
          </w:tcPr>
          <w:p>
            <w:pPr>
              <w:jc w:val="center"/>
            </w:pPr>
            <w:r>
              <w:rPr>
                <w:color w:val="0F172A"/>
                <w:sz w:val="17"/>
              </w:rPr>
              <w:t>+7.913</w:t>
            </w:r>
          </w:p>
        </w:tc>
      </w:tr>
      <w:tr>
        <w:tc>
          <w:tcPr>
            <w:tcW w:type="dxa" w:w="2160"/>
            <w:shd w:fill="FFFFFF"/>
            <w:tcMar>
              <w:top w:w="60" w:type="dxa"/>
              <w:bottom w:w="60" w:type="dxa"/>
              <w:left w:w="80" w:type="dxa"/>
              <w:right w:w="80" w:type="dxa"/>
            </w:tcMar>
          </w:tcPr>
          <w:p>
            <w:pPr>
              <w:jc w:val="left"/>
            </w:pPr>
            <w:r>
              <w:rPr>
                <w:color w:val="0F172A"/>
                <w:sz w:val="17"/>
              </w:rPr>
              <w:t>Cost_Per_Unit</w:t>
            </w:r>
          </w:p>
        </w:tc>
        <w:tc>
          <w:tcPr>
            <w:tcW w:type="dxa" w:w="576"/>
            <w:shd w:fill="FFFFFF"/>
            <w:tcMar>
              <w:top w:w="60" w:type="dxa"/>
              <w:bottom w:w="60" w:type="dxa"/>
              <w:left w:w="80" w:type="dxa"/>
              <w:right w:w="80" w:type="dxa"/>
            </w:tcMar>
          </w:tcPr>
          <w:p>
            <w:pPr>
              <w:jc w:val="center"/>
            </w:pPr>
            <w:r>
              <w:rPr>
                <w:color w:val="0F172A"/>
                <w:sz w:val="17"/>
              </w:rPr>
              <w:t>1,250</w:t>
            </w:r>
          </w:p>
        </w:tc>
        <w:tc>
          <w:tcPr>
            <w:tcW w:type="dxa" w:w="648"/>
            <w:shd w:fill="FFFFFF"/>
            <w:tcMar>
              <w:top w:w="60" w:type="dxa"/>
              <w:bottom w:w="60" w:type="dxa"/>
              <w:left w:w="80" w:type="dxa"/>
              <w:right w:w="80" w:type="dxa"/>
            </w:tcMar>
          </w:tcPr>
          <w:p>
            <w:pPr>
              <w:jc w:val="center"/>
            </w:pPr>
            <w:r>
              <w:rPr>
                <w:color w:val="0F172A"/>
                <w:sz w:val="17"/>
              </w:rPr>
              <w:t>49.4239</w:t>
            </w:r>
          </w:p>
        </w:tc>
        <w:tc>
          <w:tcPr>
            <w:tcW w:type="dxa" w:w="648"/>
            <w:shd w:fill="FFFFFF"/>
            <w:tcMar>
              <w:top w:w="60" w:type="dxa"/>
              <w:bottom w:w="60" w:type="dxa"/>
              <w:left w:w="80" w:type="dxa"/>
              <w:right w:w="80" w:type="dxa"/>
            </w:tcMar>
          </w:tcPr>
          <w:p>
            <w:pPr>
              <w:jc w:val="center"/>
            </w:pPr>
            <w:r>
              <w:rPr>
                <w:color w:val="0F172A"/>
                <w:sz w:val="17"/>
              </w:rPr>
              <w:t>33.6200</w:t>
            </w:r>
          </w:p>
        </w:tc>
        <w:tc>
          <w:tcPr>
            <w:tcW w:type="dxa" w:w="648"/>
            <w:shd w:fill="FFFFFF"/>
            <w:tcMar>
              <w:top w:w="60" w:type="dxa"/>
              <w:bottom w:w="60" w:type="dxa"/>
              <w:left w:w="80" w:type="dxa"/>
              <w:right w:w="80" w:type="dxa"/>
            </w:tcMar>
          </w:tcPr>
          <w:p>
            <w:pPr>
              <w:jc w:val="center"/>
            </w:pPr>
            <w:r>
              <w:rPr>
                <w:color w:val="0F172A"/>
                <w:sz w:val="17"/>
              </w:rPr>
              <w:t>66.9700</w:t>
            </w:r>
          </w:p>
        </w:tc>
        <w:tc>
          <w:tcPr>
            <w:tcW w:type="dxa" w:w="648"/>
            <w:shd w:fill="FFFFFF"/>
            <w:tcMar>
              <w:top w:w="60" w:type="dxa"/>
              <w:bottom w:w="60" w:type="dxa"/>
              <w:left w:w="80" w:type="dxa"/>
              <w:right w:w="80" w:type="dxa"/>
            </w:tcMar>
          </w:tcPr>
          <w:p>
            <w:pPr>
              <w:jc w:val="center"/>
            </w:pPr>
            <w:r>
              <w:rPr>
                <w:color w:val="0F172A"/>
                <w:sz w:val="17"/>
              </w:rPr>
              <w:t>42.4504</w:t>
            </w:r>
          </w:p>
        </w:tc>
        <w:tc>
          <w:tcPr>
            <w:tcW w:type="dxa" w:w="504"/>
            <w:shd w:fill="FFFFFF"/>
            <w:tcMar>
              <w:top w:w="60" w:type="dxa"/>
              <w:bottom w:w="60" w:type="dxa"/>
              <w:left w:w="80" w:type="dxa"/>
              <w:right w:w="80" w:type="dxa"/>
            </w:tcMar>
          </w:tcPr>
          <w:p>
            <w:pPr>
              <w:jc w:val="center"/>
            </w:pPr>
            <w:r>
              <w:rPr>
                <w:color w:val="0F172A"/>
                <w:sz w:val="17"/>
              </w:rPr>
              <w:t>2.34</w:t>
            </w:r>
          </w:p>
        </w:tc>
        <w:tc>
          <w:tcPr>
            <w:tcW w:type="dxa" w:w="504"/>
            <w:shd w:fill="FFFFFF"/>
            <w:tcMar>
              <w:top w:w="60" w:type="dxa"/>
              <w:bottom w:w="60" w:type="dxa"/>
              <w:left w:w="80" w:type="dxa"/>
              <w:right w:w="80" w:type="dxa"/>
            </w:tcMar>
          </w:tcPr>
          <w:p>
            <w:pPr>
              <w:jc w:val="center"/>
            </w:pPr>
            <w:r>
              <w:rPr>
                <w:color w:val="0F172A"/>
                <w:sz w:val="17"/>
              </w:rPr>
              <w:t>16.18</w:t>
            </w:r>
          </w:p>
        </w:tc>
        <w:tc>
          <w:tcPr>
            <w:tcW w:type="dxa" w:w="648"/>
            <w:shd w:fill="FFFFFF"/>
            <w:tcMar>
              <w:top w:w="60" w:type="dxa"/>
              <w:bottom w:w="60" w:type="dxa"/>
              <w:left w:w="80" w:type="dxa"/>
              <w:right w:w="80" w:type="dxa"/>
            </w:tcMar>
          </w:tcPr>
          <w:p>
            <w:pPr>
              <w:jc w:val="center"/>
            </w:pPr>
            <w:r>
              <w:rPr>
                <w:color w:val="0F172A"/>
                <w:sz w:val="17"/>
              </w:rPr>
              <w:t>72.94</w:t>
            </w:r>
          </w:p>
        </w:tc>
        <w:tc>
          <w:tcPr>
            <w:tcW w:type="dxa" w:w="648"/>
            <w:shd w:fill="FFFFFF"/>
            <w:tcMar>
              <w:top w:w="60" w:type="dxa"/>
              <w:bottom w:w="60" w:type="dxa"/>
              <w:left w:w="80" w:type="dxa"/>
              <w:right w:w="80" w:type="dxa"/>
            </w:tcMar>
          </w:tcPr>
          <w:p>
            <w:pPr>
              <w:jc w:val="center"/>
            </w:pPr>
            <w:r>
              <w:rPr>
                <w:color w:val="0F172A"/>
                <w:sz w:val="17"/>
              </w:rPr>
              <w:t>172.50</w:t>
            </w:r>
          </w:p>
        </w:tc>
        <w:tc>
          <w:tcPr>
            <w:tcW w:type="dxa" w:w="576"/>
            <w:shd w:fill="FFFFFF"/>
            <w:tcMar>
              <w:top w:w="60" w:type="dxa"/>
              <w:bottom w:w="60" w:type="dxa"/>
              <w:left w:w="80" w:type="dxa"/>
              <w:right w:w="80" w:type="dxa"/>
            </w:tcMar>
          </w:tcPr>
          <w:p>
            <w:pPr>
              <w:jc w:val="center"/>
            </w:pPr>
            <w:r>
              <w:rPr>
                <w:color w:val="0F172A"/>
                <w:sz w:val="17"/>
              </w:rPr>
              <w:t>56.76</w:t>
            </w:r>
          </w:p>
        </w:tc>
        <w:tc>
          <w:tcPr>
            <w:tcW w:type="dxa" w:w="648"/>
            <w:shd w:fill="FFFFFF"/>
            <w:tcMar>
              <w:top w:w="60" w:type="dxa"/>
              <w:bottom w:w="60" w:type="dxa"/>
              <w:left w:w="80" w:type="dxa"/>
              <w:right w:w="80" w:type="dxa"/>
            </w:tcMar>
          </w:tcPr>
          <w:p>
            <w:pPr>
              <w:jc w:val="center"/>
            </w:pPr>
            <w:r>
              <w:rPr>
                <w:color w:val="0F172A"/>
                <w:sz w:val="17"/>
              </w:rPr>
              <w:t>+1.226</w:t>
            </w:r>
          </w:p>
        </w:tc>
        <w:tc>
          <w:tcPr>
            <w:tcW w:type="dxa" w:w="648"/>
            <w:shd w:fill="FFFFFF"/>
            <w:tcMar>
              <w:top w:w="60" w:type="dxa"/>
              <w:bottom w:w="60" w:type="dxa"/>
              <w:left w:w="80" w:type="dxa"/>
              <w:right w:w="80" w:type="dxa"/>
            </w:tcMar>
          </w:tcPr>
          <w:p>
            <w:pPr>
              <w:jc w:val="center"/>
            </w:pPr>
            <w:r>
              <w:rPr>
                <w:color w:val="0F172A"/>
                <w:sz w:val="17"/>
              </w:rPr>
              <w:t>+0.825</w:t>
            </w:r>
          </w:p>
        </w:tc>
      </w:tr>
    </w:tbl>
    <w:p>
      <w:pPr>
        <w:spacing w:after="160"/>
      </w:pPr>
    </w:p>
    <w:p>
      <w:pPr>
        <w:pStyle w:val="Heading1"/>
        <w:keepNext/>
        <w:spacing w:before="360" w:after="120"/>
      </w:pPr>
      <w:r>
        <w:rPr>
          <w:rFonts w:ascii="Segoe UI Semibold" w:hAnsi="Segoe UI Semibold"/>
          <w:b/>
          <w:color w:val="1E3A8A"/>
          <w:sz w:val="32"/>
        </w:rPr>
        <w:t>10. Exploratory Data Analysis &amp; Visualizations</w:t>
      </w:r>
    </w:p>
    <w:p>
      <w:pPr>
        <w:pStyle w:val="Heading2"/>
        <w:keepNext/>
        <w:spacing w:before="280" w:after="80"/>
      </w:pPr>
      <w:r>
        <w:rPr>
          <w:rFonts w:ascii="Segoe UI Semibold" w:hAnsi="Segoe UI Semibold"/>
          <w:b/>
          <w:color w:val="0D9488"/>
          <w:sz w:val="26"/>
        </w:rPr>
        <w:t>10.1 Univariate Distribution Analysis</w:t>
      </w:r>
    </w:p>
    <w:p>
      <w:pPr>
        <w:spacing w:after="120" w:line="276" w:lineRule="auto"/>
      </w:pPr>
      <w:r>
        <w:rPr>
          <w:rFonts w:ascii="Segoe UI" w:hAnsi="Segoe UI"/>
          <w:i w:val="0"/>
          <w:sz w:val="20"/>
        </w:rPr>
        <w:t>Univariate analysis examines the probability density, quartile distributions, and shape characteristics of individual metrics in isolation. Delivery latency exhibits an approximately symmetric, platykurtic distribution reflecting multi-modal shipping service levels, while shipping cost displays moderate positive skewness ($+0.871$).</w:t>
      </w:r>
    </w:p>
    <w:p>
      <w:pPr>
        <w:spacing w:before="160" w:after="60"/>
        <w:jc w:val="center"/>
      </w:pPr>
      <w:r>
        <w:drawing>
          <wp:inline xmlns:a="http://schemas.openxmlformats.org/drawingml/2006/main" xmlns:pic="http://schemas.openxmlformats.org/drawingml/2006/picture">
            <wp:extent cx="5303520" cy="3483156"/>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11"/>
                    <a:stretch>
                      <a:fillRect/>
                    </a:stretch>
                  </pic:blipFill>
                  <pic:spPr>
                    <a:xfrm>
                      <a:off x="0" y="0"/>
                      <a:ext cx="5303520" cy="3483156"/>
                    </a:xfrm>
                    <a:prstGeom prst="rect"/>
                  </pic:spPr>
                </pic:pic>
              </a:graphicData>
            </a:graphic>
          </wp:inline>
        </w:drawing>
      </w:r>
    </w:p>
    <w:p>
      <w:pPr>
        <w:spacing w:after="240"/>
        <w:jc w:val="center"/>
      </w:pPr>
      <w:r>
        <w:rPr>
          <w:rFonts w:ascii="Segoe UI" w:hAnsi="Segoe UI"/>
          <w:i/>
          <w:color w:val="64748B"/>
          <w:sz w:val="17"/>
        </w:rPr>
        <w:t>Figure: Empirical distribution of delivery transit time (days) with mean (5.00 d) and median (5.20 d) reference lines.</w:t>
      </w:r>
    </w:p>
    <w:p>
      <w:pPr>
        <w:spacing w:before="160" w:after="60"/>
        <w:jc w:val="center"/>
      </w:pPr>
      <w:r>
        <w:drawing>
          <wp:inline xmlns:a="http://schemas.openxmlformats.org/drawingml/2006/main" xmlns:pic="http://schemas.openxmlformats.org/drawingml/2006/picture">
            <wp:extent cx="5303520" cy="3461591"/>
            <wp:docPr id="2" name="Picture 2"/>
            <wp:cNvGraphicFramePr>
              <a:graphicFrameLocks noChangeAspect="1"/>
            </wp:cNvGraphicFramePr>
            <a:graphic>
              <a:graphicData uri="http://schemas.openxmlformats.org/drawingml/2006/picture">
                <pic:pic>
                  <pic:nvPicPr>
                    <pic:cNvPr id="0" name="02_shipping_cost_distribution.png"/>
                    <pic:cNvPicPr/>
                  </pic:nvPicPr>
                  <pic:blipFill>
                    <a:blip r:embed="rId12"/>
                    <a:stretch>
                      <a:fillRect/>
                    </a:stretch>
                  </pic:blipFill>
                  <pic:spPr>
                    <a:xfrm>
                      <a:off x="0" y="0"/>
                      <a:ext cx="5303520" cy="3461591"/>
                    </a:xfrm>
                    <a:prstGeom prst="rect"/>
                  </pic:spPr>
                </pic:pic>
              </a:graphicData>
            </a:graphic>
          </wp:inline>
        </w:drawing>
      </w:r>
    </w:p>
    <w:p>
      <w:pPr>
        <w:spacing w:after="240"/>
        <w:jc w:val="center"/>
      </w:pPr>
      <w:r>
        <w:rPr>
          <w:rFonts w:ascii="Segoe UI" w:hAnsi="Segoe UI"/>
          <w:i/>
          <w:color w:val="64748B"/>
          <w:sz w:val="17"/>
        </w:rPr>
        <w:t>Figure: Empirical distribution of transportation and shipping expenditure ($ USD) with positive skewness overlay.</w:t>
      </w:r>
    </w:p>
    <w:p>
      <w:pPr>
        <w:pStyle w:val="Heading2"/>
        <w:keepNext/>
        <w:spacing w:before="280" w:after="80"/>
      </w:pPr>
      <w:r>
        <w:rPr>
          <w:rFonts w:ascii="Segoe UI Semibold" w:hAnsi="Segoe UI Semibold"/>
          <w:b/>
          <w:color w:val="0D9488"/>
          <w:sz w:val="26"/>
        </w:rPr>
        <w:t>10.2 Bivariate Relationship Analysis</w:t>
      </w:r>
    </w:p>
    <w:p>
      <w:pPr>
        <w:spacing w:after="120" w:line="276" w:lineRule="auto"/>
      </w:pPr>
      <w:r>
        <w:rPr>
          <w:rFonts w:ascii="Segoe UI" w:hAnsi="Segoe UI"/>
          <w:i w:val="0"/>
          <w:sz w:val="20"/>
        </w:rPr>
        <w:t>Bivariate analysis evaluates mathematical relationships and regression trends. Distance is positively correlated with shipping cost ($r = +0.6724, R^2 = 0.45$, slope = $0.061/KM) and delivery latency ($r = +0.5218$).</w:t>
      </w:r>
    </w:p>
    <w:p>
      <w:pPr>
        <w:spacing w:before="160" w:after="60"/>
        <w:jc w:val="center"/>
      </w:pPr>
      <w:r>
        <w:drawing>
          <wp:inline xmlns:a="http://schemas.openxmlformats.org/drawingml/2006/main" xmlns:pic="http://schemas.openxmlformats.org/drawingml/2006/picture">
            <wp:extent cx="5303520" cy="2521838"/>
            <wp:docPr id="3" name="Picture 3"/>
            <wp:cNvGraphicFramePr>
              <a:graphicFrameLocks noChangeAspect="1"/>
            </wp:cNvGraphicFramePr>
            <a:graphic>
              <a:graphicData uri="http://schemas.openxmlformats.org/drawingml/2006/picture">
                <pic:pic>
                  <pic:nvPicPr>
                    <pic:cNvPr id="0" name="07_distance_vs_delivery_time.png"/>
                    <pic:cNvPicPr/>
                  </pic:nvPicPr>
                  <pic:blipFill>
                    <a:blip r:embed="rId13"/>
                    <a:stretch>
                      <a:fillRect/>
                    </a:stretch>
                  </pic:blipFill>
                  <pic:spPr>
                    <a:xfrm>
                      <a:off x="0" y="0"/>
                      <a:ext cx="5303520" cy="2521838"/>
                    </a:xfrm>
                    <a:prstGeom prst="rect"/>
                  </pic:spPr>
                </pic:pic>
              </a:graphicData>
            </a:graphic>
          </wp:inline>
        </w:drawing>
      </w:r>
    </w:p>
    <w:p>
      <w:pPr>
        <w:spacing w:after="240"/>
        <w:jc w:val="center"/>
      </w:pPr>
      <w:r>
        <w:rPr>
          <w:rFonts w:ascii="Segoe UI" w:hAnsi="Segoe UI"/>
          <w:i/>
          <w:color w:val="64748B"/>
          <w:sz w:val="17"/>
        </w:rPr>
        <w:t>Figure: Scatter plot of transportation transit distance (KM) vs delivery latency (days) by shipping mode.</w:t>
      </w:r>
    </w:p>
    <w:p>
      <w:pPr>
        <w:spacing w:before="160" w:after="60"/>
        <w:jc w:val="center"/>
      </w:pPr>
      <w:r>
        <w:drawing>
          <wp:inline xmlns:a="http://schemas.openxmlformats.org/drawingml/2006/main" xmlns:pic="http://schemas.openxmlformats.org/drawingml/2006/picture">
            <wp:extent cx="5303520" cy="2369658"/>
            <wp:docPr id="4" name="Picture 4"/>
            <wp:cNvGraphicFramePr>
              <a:graphicFrameLocks noChangeAspect="1"/>
            </wp:cNvGraphicFramePr>
            <a:graphic>
              <a:graphicData uri="http://schemas.openxmlformats.org/drawingml/2006/picture">
                <pic:pic>
                  <pic:nvPicPr>
                    <pic:cNvPr id="0" name="08_distance_vs_shipping_cost.png"/>
                    <pic:cNvPicPr/>
                  </pic:nvPicPr>
                  <pic:blipFill>
                    <a:blip r:embed="rId14"/>
                    <a:stretch>
                      <a:fillRect/>
                    </a:stretch>
                  </pic:blipFill>
                  <pic:spPr>
                    <a:xfrm>
                      <a:off x="0" y="0"/>
                      <a:ext cx="5303520" cy="2369658"/>
                    </a:xfrm>
                    <a:prstGeom prst="rect"/>
                  </pic:spPr>
                </pic:pic>
              </a:graphicData>
            </a:graphic>
          </wp:inline>
        </w:drawing>
      </w:r>
    </w:p>
    <w:p>
      <w:pPr>
        <w:spacing w:after="240"/>
        <w:jc w:val="center"/>
      </w:pPr>
      <w:r>
        <w:rPr>
          <w:rFonts w:ascii="Segoe UI" w:hAnsi="Segoe UI"/>
          <w:i/>
          <w:color w:val="64748B"/>
          <w:sz w:val="17"/>
        </w:rPr>
        <w:t>Figure: Impact of transit distance on total transportation cost ($ USD) with OLS regression fit.</w:t>
      </w:r>
    </w:p>
    <w:p>
      <w:pPr>
        <w:pStyle w:val="Heading2"/>
        <w:keepNext/>
        <w:spacing w:before="280" w:after="80"/>
      </w:pPr>
      <w:r>
        <w:rPr>
          <w:rFonts w:ascii="Segoe UI Semibold" w:hAnsi="Segoe UI Semibold"/>
          <w:b/>
          <w:color w:val="0D9488"/>
          <w:sz w:val="26"/>
        </w:rPr>
        <w:t>10.3 Multivariate Interaction Analysis</w:t>
      </w:r>
    </w:p>
    <w:p>
      <w:pPr>
        <w:spacing w:after="120" w:line="276" w:lineRule="auto"/>
      </w:pPr>
      <w:r>
        <w:rPr>
          <w:rFonts w:ascii="Segoe UI" w:hAnsi="Segoe UI"/>
          <w:i w:val="0"/>
          <w:sz w:val="20"/>
        </w:rPr>
        <w:t>Multivariate analysis explores complex interaction effects between order quantity, product category, gross commercial value, and freight spend.</w:t>
      </w:r>
    </w:p>
    <w:p>
      <w:pPr>
        <w:spacing w:before="160" w:after="60"/>
        <w:jc w:val="center"/>
      </w:pPr>
      <w:r>
        <w:drawing>
          <wp:inline xmlns:a="http://schemas.openxmlformats.org/drawingml/2006/main" xmlns:pic="http://schemas.openxmlformats.org/drawingml/2006/picture">
            <wp:extent cx="5303520" cy="2635280"/>
            <wp:docPr id="5" name="Picture 5"/>
            <wp:cNvGraphicFramePr>
              <a:graphicFrameLocks noChangeAspect="1"/>
            </wp:cNvGraphicFramePr>
            <a:graphic>
              <a:graphicData uri="http://schemas.openxmlformats.org/drawingml/2006/picture">
                <pic:pic>
                  <pic:nvPicPr>
                    <pic:cNvPr id="0" name="11_quantity_vs_shipping_cost.png"/>
                    <pic:cNvPicPr/>
                  </pic:nvPicPr>
                  <pic:blipFill>
                    <a:blip r:embed="rId15"/>
                    <a:stretch>
                      <a:fillRect/>
                    </a:stretch>
                  </pic:blipFill>
                  <pic:spPr>
                    <a:xfrm>
                      <a:off x="0" y="0"/>
                      <a:ext cx="5303520" cy="2635280"/>
                    </a:xfrm>
                    <a:prstGeom prst="rect"/>
                  </pic:spPr>
                </pic:pic>
              </a:graphicData>
            </a:graphic>
          </wp:inline>
        </w:drawing>
      </w:r>
    </w:p>
    <w:p>
      <w:pPr>
        <w:spacing w:after="240"/>
        <w:jc w:val="center"/>
      </w:pPr>
      <w:r>
        <w:rPr>
          <w:rFonts w:ascii="Segoe UI" w:hAnsi="Segoe UI"/>
          <w:i/>
          <w:color w:val="64748B"/>
          <w:sz w:val="17"/>
        </w:rPr>
        <w:t>Figure: Multivariate scatter plot of shipment quantity vs shipping cost segmented by product category and sales volume.</w:t>
      </w:r>
    </w:p>
    <w:p>
      <w:pPr>
        <w:spacing w:before="160" w:after="60"/>
        <w:jc w:val="center"/>
      </w:pPr>
      <w:r>
        <w:drawing>
          <wp:inline xmlns:a="http://schemas.openxmlformats.org/drawingml/2006/main" xmlns:pic="http://schemas.openxmlformats.org/drawingml/2006/picture">
            <wp:extent cx="5303520" cy="2891303"/>
            <wp:docPr id="6" name="Picture 6"/>
            <wp:cNvGraphicFramePr>
              <a:graphicFrameLocks noChangeAspect="1"/>
            </wp:cNvGraphicFramePr>
            <a:graphic>
              <a:graphicData uri="http://schemas.openxmlformats.org/drawingml/2006/picture">
                <pic:pic>
                  <pic:nvPicPr>
                    <pic:cNvPr id="0" name="12_product_category_performance.png"/>
                    <pic:cNvPicPr/>
                  </pic:nvPicPr>
                  <pic:blipFill>
                    <a:blip r:embed="rId16"/>
                    <a:stretch>
                      <a:fillRect/>
                    </a:stretch>
                  </pic:blipFill>
                  <pic:spPr>
                    <a:xfrm>
                      <a:off x="0" y="0"/>
                      <a:ext cx="5303520" cy="2891303"/>
                    </a:xfrm>
                    <a:prstGeom prst="rect"/>
                  </pic:spPr>
                </pic:pic>
              </a:graphicData>
            </a:graphic>
          </wp:inline>
        </w:drawing>
      </w:r>
    </w:p>
    <w:p>
      <w:pPr>
        <w:spacing w:after="240"/>
        <w:jc w:val="center"/>
      </w:pPr>
      <w:r>
        <w:rPr>
          <w:rFonts w:ascii="Segoe UI" w:hAnsi="Segoe UI"/>
          <w:i/>
          <w:color w:val="64748B"/>
          <w:sz w:val="17"/>
        </w:rPr>
        <w:t>Figure: Dual-panel comparison of commercial sales, shipping expenditure, and freight cost burden ratio by category.</w:t>
      </w:r>
    </w:p>
    <w:p>
      <w:pPr>
        <w:pStyle w:val="Heading1"/>
        <w:keepNext/>
        <w:spacing w:before="360" w:after="120"/>
      </w:pPr>
      <w:r>
        <w:rPr>
          <w:rFonts w:ascii="Segoe UI Semibold" w:hAnsi="Segoe UI Semibold"/>
          <w:b/>
          <w:color w:val="1E3A8A"/>
          <w:sz w:val="32"/>
        </w:rPr>
        <w:t>11. Logistics KPI Analysis</w:t>
      </w:r>
    </w:p>
    <w:p>
      <w:pPr>
        <w:spacing w:after="120" w:line="276" w:lineRule="auto"/>
      </w:pPr>
      <w:r>
        <w:rPr>
          <w:rFonts w:ascii="Segoe UI" w:hAnsi="Segoe UI"/>
          <w:i w:val="0"/>
          <w:sz w:val="20"/>
        </w:rPr>
        <w:t>To evaluate network-wide operational health, core enterprise logistics Key Performance Indicators (KPIs) were computed from the empirical transaction records.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90" w:type="dxa"/>
              <w:right w:w="90" w:type="dxa"/>
            </w:tcMar>
          </w:tcPr>
          <w:p>
            <w:pPr>
              <w:jc w:val="center"/>
            </w:pPr>
            <w:r>
              <w:rPr>
                <w:b/>
                <w:color w:val="FFFFFF"/>
                <w:sz w:val="18"/>
              </w:rPr>
              <w:t>Corporate Logistics KPI</w:t>
            </w:r>
          </w:p>
        </w:tc>
        <w:tc>
          <w:tcPr>
            <w:tcW w:type="dxa" w:w="1728"/>
            <w:shd w:fill="1E3A8A"/>
            <w:tcMar>
              <w:top w:w="80" w:type="dxa"/>
              <w:bottom w:w="80" w:type="dxa"/>
              <w:left w:w="90" w:type="dxa"/>
              <w:right w:w="90" w:type="dxa"/>
            </w:tcMar>
          </w:tcPr>
          <w:p>
            <w:pPr>
              <w:jc w:val="center"/>
            </w:pPr>
            <w:r>
              <w:rPr>
                <w:b/>
                <w:color w:val="FFFFFF"/>
                <w:sz w:val="18"/>
              </w:rPr>
              <w:t>Empirical Metric Value</w:t>
            </w:r>
          </w:p>
        </w:tc>
        <w:tc>
          <w:tcPr>
            <w:tcW w:type="dxa" w:w="1728"/>
            <w:shd w:fill="1E3A8A"/>
            <w:tcMar>
              <w:top w:w="80" w:type="dxa"/>
              <w:bottom w:w="80" w:type="dxa"/>
              <w:left w:w="90" w:type="dxa"/>
              <w:right w:w="90" w:type="dxa"/>
            </w:tcMar>
          </w:tcPr>
          <w:p>
            <w:pPr>
              <w:jc w:val="center"/>
            </w:pPr>
            <w:r>
              <w:rPr>
                <w:b/>
                <w:color w:val="FFFFFF"/>
                <w:sz w:val="18"/>
              </w:rPr>
              <w:t>Operational Benchmark</w:t>
            </w:r>
          </w:p>
        </w:tc>
        <w:tc>
          <w:tcPr>
            <w:tcW w:type="dxa" w:w="3312"/>
            <w:shd w:fill="1E3A8A"/>
            <w:tcMar>
              <w:top w:w="80" w:type="dxa"/>
              <w:bottom w:w="80" w:type="dxa"/>
              <w:left w:w="90" w:type="dxa"/>
              <w:right w:w="90" w:type="dxa"/>
            </w:tcMar>
          </w:tcPr>
          <w:p>
            <w:pPr>
              <w:jc w:val="center"/>
            </w:pPr>
            <w:r>
              <w:rPr>
                <w:b/>
                <w:color w:val="FFFFFF"/>
                <w:sz w:val="18"/>
              </w:rPr>
              <w:t>Status / Health Assessment</w:t>
            </w:r>
          </w:p>
        </w:tc>
      </w:tr>
      <w:tr>
        <w:tc>
          <w:tcPr>
            <w:tcW w:type="dxa" w:w="2592"/>
            <w:shd w:fill="FFFFFF"/>
            <w:tcMar>
              <w:top w:w="60" w:type="dxa"/>
              <w:bottom w:w="60" w:type="dxa"/>
              <w:left w:w="80" w:type="dxa"/>
              <w:right w:w="80" w:type="dxa"/>
            </w:tcMar>
          </w:tcPr>
          <w:p>
            <w:pPr>
              <w:jc w:val="left"/>
            </w:pPr>
            <w:r>
              <w:rPr>
                <w:color w:val="0F172A"/>
                <w:sz w:val="17"/>
              </w:rPr>
              <w:t>Total Order Volume</w:t>
            </w:r>
          </w:p>
        </w:tc>
        <w:tc>
          <w:tcPr>
            <w:tcW w:type="dxa" w:w="1728"/>
            <w:shd w:fill="FFFFFF"/>
            <w:tcMar>
              <w:top w:w="60" w:type="dxa"/>
              <w:bottom w:w="60" w:type="dxa"/>
              <w:left w:w="80" w:type="dxa"/>
              <w:right w:w="80" w:type="dxa"/>
            </w:tcMar>
          </w:tcPr>
          <w:p>
            <w:pPr>
              <w:jc w:val="center"/>
            </w:pPr>
            <w:r>
              <w:rPr>
                <w:color w:val="0F172A"/>
                <w:sz w:val="17"/>
              </w:rPr>
              <w:t>1,250 Shipments</w:t>
            </w:r>
          </w:p>
        </w:tc>
        <w:tc>
          <w:tcPr>
            <w:tcW w:type="dxa" w:w="1728"/>
            <w:shd w:fill="FFFFFF"/>
            <w:tcMar>
              <w:top w:w="60" w:type="dxa"/>
              <w:bottom w:w="60" w:type="dxa"/>
              <w:left w:w="80" w:type="dxa"/>
              <w:right w:w="80" w:type="dxa"/>
            </w:tcMar>
          </w:tcPr>
          <w:p>
            <w:pPr>
              <w:jc w:val="center"/>
            </w:pPr>
            <w:r>
              <w:rPr>
                <w:color w:val="0F172A"/>
                <w:sz w:val="17"/>
              </w:rPr>
              <w:t>N/A</w:t>
            </w:r>
          </w:p>
        </w:tc>
        <w:tc>
          <w:tcPr>
            <w:tcW w:type="dxa" w:w="3312"/>
            <w:shd w:fill="FFFFFF"/>
            <w:tcMar>
              <w:top w:w="60" w:type="dxa"/>
              <w:bottom w:w="60" w:type="dxa"/>
              <w:left w:w="80" w:type="dxa"/>
              <w:right w:w="80" w:type="dxa"/>
            </w:tcMar>
          </w:tcPr>
          <w:p>
            <w:pPr>
              <w:jc w:val="center"/>
            </w:pPr>
            <w:r>
              <w:rPr>
                <w:color w:val="0F172A"/>
                <w:sz w:val="17"/>
              </w:rPr>
              <w:t>Full semi-annual operational throughput</w:t>
            </w:r>
          </w:p>
        </w:tc>
      </w:tr>
      <w:tr>
        <w:tc>
          <w:tcPr>
            <w:tcW w:type="dxa" w:w="2592"/>
            <w:shd w:fill="F1F5F9"/>
            <w:tcMar>
              <w:top w:w="60" w:type="dxa"/>
              <w:bottom w:w="60" w:type="dxa"/>
              <w:left w:w="80" w:type="dxa"/>
              <w:right w:w="80" w:type="dxa"/>
            </w:tcMar>
          </w:tcPr>
          <w:p>
            <w:pPr>
              <w:jc w:val="left"/>
            </w:pPr>
            <w:r>
              <w:rPr>
                <w:color w:val="0F172A"/>
                <w:sz w:val="17"/>
              </w:rPr>
              <w:t>Gross Commercial Sales</w:t>
            </w:r>
          </w:p>
        </w:tc>
        <w:tc>
          <w:tcPr>
            <w:tcW w:type="dxa" w:w="1728"/>
            <w:shd w:fill="F1F5F9"/>
            <w:tcMar>
              <w:top w:w="60" w:type="dxa"/>
              <w:bottom w:w="60" w:type="dxa"/>
              <w:left w:w="80" w:type="dxa"/>
              <w:right w:w="80" w:type="dxa"/>
            </w:tcMar>
          </w:tcPr>
          <w:p>
            <w:pPr>
              <w:jc w:val="center"/>
            </w:pPr>
            <w:r>
              <w:rPr>
                <w:color w:val="0F172A"/>
                <w:sz w:val="17"/>
              </w:rPr>
              <w:t>$769,293.85</w:t>
            </w:r>
          </w:p>
        </w:tc>
        <w:tc>
          <w:tcPr>
            <w:tcW w:type="dxa" w:w="1728"/>
            <w:shd w:fill="F1F5F9"/>
            <w:tcMar>
              <w:top w:w="60" w:type="dxa"/>
              <w:bottom w:w="60" w:type="dxa"/>
              <w:left w:w="80" w:type="dxa"/>
              <w:right w:w="80" w:type="dxa"/>
            </w:tcMar>
          </w:tcPr>
          <w:p>
            <w:pPr>
              <w:jc w:val="center"/>
            </w:pPr>
            <w:r>
              <w:rPr>
                <w:color w:val="0F172A"/>
                <w:sz w:val="17"/>
              </w:rPr>
              <w:t>N/A</w:t>
            </w:r>
          </w:p>
        </w:tc>
        <w:tc>
          <w:tcPr>
            <w:tcW w:type="dxa" w:w="3312"/>
            <w:shd w:fill="F1F5F9"/>
            <w:tcMar>
              <w:top w:w="60" w:type="dxa"/>
              <w:bottom w:w="60" w:type="dxa"/>
              <w:left w:w="80" w:type="dxa"/>
              <w:right w:w="80" w:type="dxa"/>
            </w:tcMar>
          </w:tcPr>
          <w:p>
            <w:pPr>
              <w:jc w:val="center"/>
            </w:pPr>
            <w:r>
              <w:rPr>
                <w:color w:val="0F172A"/>
                <w:sz w:val="17"/>
              </w:rPr>
              <w:t>Base commercial trading volume</w:t>
            </w:r>
          </w:p>
        </w:tc>
      </w:tr>
      <w:tr>
        <w:tc>
          <w:tcPr>
            <w:tcW w:type="dxa" w:w="2592"/>
            <w:shd w:fill="FFFFFF"/>
            <w:tcMar>
              <w:top w:w="60" w:type="dxa"/>
              <w:bottom w:w="60" w:type="dxa"/>
              <w:left w:w="80" w:type="dxa"/>
              <w:right w:w="80" w:type="dxa"/>
            </w:tcMar>
          </w:tcPr>
          <w:p>
            <w:pPr>
              <w:jc w:val="left"/>
            </w:pPr>
            <w:r>
              <w:rPr>
                <w:color w:val="0F172A"/>
                <w:sz w:val="17"/>
              </w:rPr>
              <w:t>Total Transportation Spend</w:t>
            </w:r>
          </w:p>
        </w:tc>
        <w:tc>
          <w:tcPr>
            <w:tcW w:type="dxa" w:w="1728"/>
            <w:shd w:fill="FFFFFF"/>
            <w:tcMar>
              <w:top w:w="60" w:type="dxa"/>
              <w:bottom w:w="60" w:type="dxa"/>
              <w:left w:w="80" w:type="dxa"/>
              <w:right w:w="80" w:type="dxa"/>
            </w:tcMar>
          </w:tcPr>
          <w:p>
            <w:pPr>
              <w:jc w:val="center"/>
            </w:pPr>
            <w:r>
              <w:rPr>
                <w:color w:val="0F172A"/>
                <w:sz w:val="17"/>
              </w:rPr>
              <w:t>$114,809.33</w:t>
            </w:r>
          </w:p>
        </w:tc>
        <w:tc>
          <w:tcPr>
            <w:tcW w:type="dxa" w:w="1728"/>
            <w:shd w:fill="FFFFFF"/>
            <w:tcMar>
              <w:top w:w="60" w:type="dxa"/>
              <w:bottom w:w="60" w:type="dxa"/>
              <w:left w:w="80" w:type="dxa"/>
              <w:right w:w="80" w:type="dxa"/>
            </w:tcMar>
          </w:tcPr>
          <w:p>
            <w:pPr>
              <w:jc w:val="center"/>
            </w:pPr>
            <w:r>
              <w:rPr>
                <w:color w:val="0F172A"/>
                <w:sz w:val="17"/>
              </w:rPr>
              <w:t>N/A</w:t>
            </w:r>
          </w:p>
        </w:tc>
        <w:tc>
          <w:tcPr>
            <w:tcW w:type="dxa" w:w="3312"/>
            <w:shd w:fill="FFFFFF"/>
            <w:tcMar>
              <w:top w:w="60" w:type="dxa"/>
              <w:bottom w:w="60" w:type="dxa"/>
              <w:left w:w="80" w:type="dxa"/>
              <w:right w:w="80" w:type="dxa"/>
            </w:tcMar>
          </w:tcPr>
          <w:p>
            <w:pPr>
              <w:jc w:val="center"/>
            </w:pPr>
            <w:r>
              <w:rPr>
                <w:color w:val="0F172A"/>
                <w:sz w:val="17"/>
              </w:rPr>
              <w:t>Direct freight procurement spend</w:t>
            </w:r>
          </w:p>
        </w:tc>
      </w:tr>
      <w:tr>
        <w:tc>
          <w:tcPr>
            <w:tcW w:type="dxa" w:w="2592"/>
            <w:shd w:fill="F1F5F9"/>
            <w:tcMar>
              <w:top w:w="60" w:type="dxa"/>
              <w:bottom w:w="60" w:type="dxa"/>
              <w:left w:w="80" w:type="dxa"/>
              <w:right w:w="80" w:type="dxa"/>
            </w:tcMar>
          </w:tcPr>
          <w:p>
            <w:pPr>
              <w:jc w:val="left"/>
            </w:pPr>
            <w:r>
              <w:rPr>
                <w:color w:val="0F172A"/>
                <w:sz w:val="17"/>
              </w:rPr>
              <w:t>Average Order Value (AOV)</w:t>
            </w:r>
          </w:p>
        </w:tc>
        <w:tc>
          <w:tcPr>
            <w:tcW w:type="dxa" w:w="1728"/>
            <w:shd w:fill="F1F5F9"/>
            <w:tcMar>
              <w:top w:w="60" w:type="dxa"/>
              <w:bottom w:w="60" w:type="dxa"/>
              <w:left w:w="80" w:type="dxa"/>
              <w:right w:w="80" w:type="dxa"/>
            </w:tcMar>
          </w:tcPr>
          <w:p>
            <w:pPr>
              <w:jc w:val="center"/>
            </w:pPr>
            <w:r>
              <w:rPr>
                <w:color w:val="0F172A"/>
                <w:sz w:val="17"/>
              </w:rPr>
              <w:t>$615.44</w:t>
            </w:r>
          </w:p>
        </w:tc>
        <w:tc>
          <w:tcPr>
            <w:tcW w:type="dxa" w:w="1728"/>
            <w:shd w:fill="F1F5F9"/>
            <w:tcMar>
              <w:top w:w="60" w:type="dxa"/>
              <w:bottom w:w="60" w:type="dxa"/>
              <w:left w:w="80" w:type="dxa"/>
              <w:right w:w="80" w:type="dxa"/>
            </w:tcMar>
          </w:tcPr>
          <w:p>
            <w:pPr>
              <w:jc w:val="center"/>
            </w:pPr>
            <w:r>
              <w:rPr>
                <w:color w:val="0F172A"/>
                <w:sz w:val="17"/>
              </w:rPr>
              <w:t>$500.00</w:t>
            </w:r>
          </w:p>
        </w:tc>
        <w:tc>
          <w:tcPr>
            <w:tcW w:type="dxa" w:w="3312"/>
            <w:shd w:fill="F1F5F9"/>
            <w:tcMar>
              <w:top w:w="60" w:type="dxa"/>
              <w:bottom w:w="60" w:type="dxa"/>
              <w:left w:w="80" w:type="dxa"/>
              <w:right w:w="80" w:type="dxa"/>
            </w:tcMar>
          </w:tcPr>
          <w:p>
            <w:pPr>
              <w:jc w:val="center"/>
            </w:pPr>
            <w:r>
              <w:rPr>
                <w:color w:val="0F172A"/>
                <w:sz w:val="17"/>
              </w:rPr>
              <w:t>Strong commercial basket size</w:t>
            </w:r>
          </w:p>
        </w:tc>
      </w:tr>
      <w:tr>
        <w:tc>
          <w:tcPr>
            <w:tcW w:type="dxa" w:w="2592"/>
            <w:shd w:fill="FFFFFF"/>
            <w:tcMar>
              <w:top w:w="60" w:type="dxa"/>
              <w:bottom w:w="60" w:type="dxa"/>
              <w:left w:w="80" w:type="dxa"/>
              <w:right w:w="80" w:type="dxa"/>
            </w:tcMar>
          </w:tcPr>
          <w:p>
            <w:pPr>
              <w:jc w:val="left"/>
            </w:pPr>
            <w:r>
              <w:rPr>
                <w:color w:val="0F172A"/>
                <w:sz w:val="17"/>
              </w:rPr>
              <w:t>Average Shipping Cost per Order</w:t>
            </w:r>
          </w:p>
        </w:tc>
        <w:tc>
          <w:tcPr>
            <w:tcW w:type="dxa" w:w="1728"/>
            <w:shd w:fill="FFFFFF"/>
            <w:tcMar>
              <w:top w:w="60" w:type="dxa"/>
              <w:bottom w:w="60" w:type="dxa"/>
              <w:left w:w="80" w:type="dxa"/>
              <w:right w:w="80" w:type="dxa"/>
            </w:tcMar>
          </w:tcPr>
          <w:p>
            <w:pPr>
              <w:jc w:val="center"/>
            </w:pPr>
            <w:r>
              <w:rPr>
                <w:color w:val="0F172A"/>
                <w:sz w:val="17"/>
              </w:rPr>
              <w:t>$91.85</w:t>
            </w:r>
          </w:p>
        </w:tc>
        <w:tc>
          <w:tcPr>
            <w:tcW w:type="dxa" w:w="1728"/>
            <w:shd w:fill="FFFFFF"/>
            <w:tcMar>
              <w:top w:w="60" w:type="dxa"/>
              <w:bottom w:w="60" w:type="dxa"/>
              <w:left w:w="80" w:type="dxa"/>
              <w:right w:w="80" w:type="dxa"/>
            </w:tcMar>
          </w:tcPr>
          <w:p>
            <w:pPr>
              <w:jc w:val="center"/>
            </w:pPr>
            <w:r>
              <w:rPr>
                <w:color w:val="0F172A"/>
                <w:sz w:val="17"/>
              </w:rPr>
              <w:t>&lt; $75.00</w:t>
            </w:r>
          </w:p>
        </w:tc>
        <w:tc>
          <w:tcPr>
            <w:tcW w:type="dxa" w:w="3312"/>
            <w:shd w:fill="FFFFFF"/>
            <w:tcMar>
              <w:top w:w="60" w:type="dxa"/>
              <w:bottom w:w="60" w:type="dxa"/>
              <w:left w:w="80" w:type="dxa"/>
              <w:right w:w="80" w:type="dxa"/>
            </w:tcMar>
          </w:tcPr>
          <w:p>
            <w:pPr>
              <w:jc w:val="center"/>
            </w:pPr>
            <w:r>
              <w:rPr>
                <w:color w:val="0F172A"/>
                <w:sz w:val="17"/>
              </w:rPr>
              <w:t>Elevated due to high expedited air mix</w:t>
            </w:r>
          </w:p>
        </w:tc>
      </w:tr>
      <w:tr>
        <w:tc>
          <w:tcPr>
            <w:tcW w:type="dxa" w:w="2592"/>
            <w:shd w:fill="F1F5F9"/>
            <w:tcMar>
              <w:top w:w="60" w:type="dxa"/>
              <w:bottom w:w="60" w:type="dxa"/>
              <w:left w:w="80" w:type="dxa"/>
              <w:right w:w="80" w:type="dxa"/>
            </w:tcMar>
          </w:tcPr>
          <w:p>
            <w:pPr>
              <w:jc w:val="left"/>
            </w:pPr>
            <w:r>
              <w:rPr>
                <w:color w:val="0F172A"/>
                <w:sz w:val="17"/>
              </w:rPr>
              <w:t>Shipping Cost-to-Sales Ratio</w:t>
            </w:r>
          </w:p>
        </w:tc>
        <w:tc>
          <w:tcPr>
            <w:tcW w:type="dxa" w:w="1728"/>
            <w:shd w:fill="F1F5F9"/>
            <w:tcMar>
              <w:top w:w="60" w:type="dxa"/>
              <w:bottom w:w="60" w:type="dxa"/>
              <w:left w:w="80" w:type="dxa"/>
              <w:right w:w="80" w:type="dxa"/>
            </w:tcMar>
          </w:tcPr>
          <w:p>
            <w:pPr>
              <w:jc w:val="center"/>
            </w:pPr>
            <w:r>
              <w:rPr>
                <w:color w:val="0F172A"/>
                <w:sz w:val="17"/>
              </w:rPr>
              <w:t>14.92%</w:t>
            </w:r>
          </w:p>
        </w:tc>
        <w:tc>
          <w:tcPr>
            <w:tcW w:type="dxa" w:w="1728"/>
            <w:shd w:fill="F1F5F9"/>
            <w:tcMar>
              <w:top w:w="60" w:type="dxa"/>
              <w:bottom w:w="60" w:type="dxa"/>
              <w:left w:w="80" w:type="dxa"/>
              <w:right w:w="80" w:type="dxa"/>
            </w:tcMar>
          </w:tcPr>
          <w:p>
            <w:pPr>
              <w:jc w:val="center"/>
            </w:pPr>
            <w:r>
              <w:rPr>
                <w:color w:val="0F172A"/>
                <w:sz w:val="17"/>
              </w:rPr>
              <w:t>&lt; 10.00%</w:t>
            </w:r>
          </w:p>
        </w:tc>
        <w:tc>
          <w:tcPr>
            <w:tcW w:type="dxa" w:w="3312"/>
            <w:shd w:fill="F1F5F9"/>
            <w:tcMar>
              <w:top w:w="60" w:type="dxa"/>
              <w:bottom w:w="60" w:type="dxa"/>
              <w:left w:w="80" w:type="dxa"/>
              <w:right w:w="80" w:type="dxa"/>
            </w:tcMar>
          </w:tcPr>
          <w:p>
            <w:pPr>
              <w:jc w:val="center"/>
            </w:pPr>
            <w:r>
              <w:rPr>
                <w:color w:val="0F172A"/>
                <w:sz w:val="17"/>
              </w:rPr>
              <w:t>High Margin Burden (Industry target: 8-12%)</w:t>
            </w:r>
          </w:p>
        </w:tc>
      </w:tr>
      <w:tr>
        <w:tc>
          <w:tcPr>
            <w:tcW w:type="dxa" w:w="2592"/>
            <w:shd w:fill="FFFFFF"/>
            <w:tcMar>
              <w:top w:w="60" w:type="dxa"/>
              <w:bottom w:w="60" w:type="dxa"/>
              <w:left w:w="80" w:type="dxa"/>
              <w:right w:w="80" w:type="dxa"/>
            </w:tcMar>
          </w:tcPr>
          <w:p>
            <w:pPr>
              <w:jc w:val="left"/>
            </w:pPr>
            <w:r>
              <w:rPr>
                <w:color w:val="0F172A"/>
                <w:sz w:val="17"/>
              </w:rPr>
              <w:t>Average Delivery Time</w:t>
            </w:r>
          </w:p>
        </w:tc>
        <w:tc>
          <w:tcPr>
            <w:tcW w:type="dxa" w:w="1728"/>
            <w:shd w:fill="FFFFFF"/>
            <w:tcMar>
              <w:top w:w="60" w:type="dxa"/>
              <w:bottom w:w="60" w:type="dxa"/>
              <w:left w:w="80" w:type="dxa"/>
              <w:right w:w="80" w:type="dxa"/>
            </w:tcMar>
          </w:tcPr>
          <w:p>
            <w:pPr>
              <w:jc w:val="center"/>
            </w:pPr>
            <w:r>
              <w:rPr>
                <w:color w:val="0F172A"/>
                <w:sz w:val="17"/>
              </w:rPr>
              <w:t>5.00 Days</w:t>
            </w:r>
          </w:p>
        </w:tc>
        <w:tc>
          <w:tcPr>
            <w:tcW w:type="dxa" w:w="1728"/>
            <w:shd w:fill="FFFFFF"/>
            <w:tcMar>
              <w:top w:w="60" w:type="dxa"/>
              <w:bottom w:w="60" w:type="dxa"/>
              <w:left w:w="80" w:type="dxa"/>
              <w:right w:w="80" w:type="dxa"/>
            </w:tcMar>
          </w:tcPr>
          <w:p>
            <w:pPr>
              <w:jc w:val="center"/>
            </w:pPr>
            <w:r>
              <w:rPr>
                <w:color w:val="0F172A"/>
                <w:sz w:val="17"/>
              </w:rPr>
              <w:t>4.00 Days</w:t>
            </w:r>
          </w:p>
        </w:tc>
        <w:tc>
          <w:tcPr>
            <w:tcW w:type="dxa" w:w="3312"/>
            <w:shd w:fill="FFFFFF"/>
            <w:tcMar>
              <w:top w:w="60" w:type="dxa"/>
              <w:bottom w:w="60" w:type="dxa"/>
              <w:left w:w="80" w:type="dxa"/>
              <w:right w:w="80" w:type="dxa"/>
            </w:tcMar>
          </w:tcPr>
          <w:p>
            <w:pPr>
              <w:jc w:val="center"/>
            </w:pPr>
            <w:r>
              <w:rPr>
                <w:color w:val="0F172A"/>
                <w:sz w:val="17"/>
              </w:rPr>
              <w:t>Moderate network transit latency</w:t>
            </w:r>
          </w:p>
        </w:tc>
      </w:tr>
      <w:tr>
        <w:tc>
          <w:tcPr>
            <w:tcW w:type="dxa" w:w="2592"/>
            <w:shd w:fill="F1F5F9"/>
            <w:tcMar>
              <w:top w:w="60" w:type="dxa"/>
              <w:bottom w:w="60" w:type="dxa"/>
              <w:left w:w="80" w:type="dxa"/>
              <w:right w:w="80" w:type="dxa"/>
            </w:tcMar>
          </w:tcPr>
          <w:p>
            <w:pPr>
              <w:jc w:val="left"/>
            </w:pPr>
            <w:r>
              <w:rPr>
                <w:color w:val="0F172A"/>
                <w:sz w:val="17"/>
              </w:rPr>
              <w:t>Median Delivery Time</w:t>
            </w:r>
          </w:p>
        </w:tc>
        <w:tc>
          <w:tcPr>
            <w:tcW w:type="dxa" w:w="1728"/>
            <w:shd w:fill="F1F5F9"/>
            <w:tcMar>
              <w:top w:w="60" w:type="dxa"/>
              <w:bottom w:w="60" w:type="dxa"/>
              <w:left w:w="80" w:type="dxa"/>
              <w:right w:w="80" w:type="dxa"/>
            </w:tcMar>
          </w:tcPr>
          <w:p>
            <w:pPr>
              <w:jc w:val="center"/>
            </w:pPr>
            <w:r>
              <w:rPr>
                <w:color w:val="0F172A"/>
                <w:sz w:val="17"/>
              </w:rPr>
              <w:t>5.20 Days</w:t>
            </w:r>
          </w:p>
        </w:tc>
        <w:tc>
          <w:tcPr>
            <w:tcW w:type="dxa" w:w="1728"/>
            <w:shd w:fill="F1F5F9"/>
            <w:tcMar>
              <w:top w:w="60" w:type="dxa"/>
              <w:bottom w:w="60" w:type="dxa"/>
              <w:left w:w="80" w:type="dxa"/>
              <w:right w:w="80" w:type="dxa"/>
            </w:tcMar>
          </w:tcPr>
          <w:p>
            <w:pPr>
              <w:jc w:val="center"/>
            </w:pPr>
            <w:r>
              <w:rPr>
                <w:color w:val="0F172A"/>
                <w:sz w:val="17"/>
              </w:rPr>
              <w:t>4.00 Days</w:t>
            </w:r>
          </w:p>
        </w:tc>
        <w:tc>
          <w:tcPr>
            <w:tcW w:type="dxa" w:w="3312"/>
            <w:shd w:fill="F1F5F9"/>
            <w:tcMar>
              <w:top w:w="60" w:type="dxa"/>
              <w:bottom w:w="60" w:type="dxa"/>
              <w:left w:w="80" w:type="dxa"/>
              <w:right w:w="80" w:type="dxa"/>
            </w:tcMar>
          </w:tcPr>
          <w:p>
            <w:pPr>
              <w:jc w:val="center"/>
            </w:pPr>
            <w:r>
              <w:rPr>
                <w:color w:val="0F172A"/>
                <w:sz w:val="17"/>
              </w:rPr>
              <w:t>Reflects 5-day standard delivery dominance</w:t>
            </w:r>
          </w:p>
        </w:tc>
      </w:tr>
      <w:tr>
        <w:tc>
          <w:tcPr>
            <w:tcW w:type="dxa" w:w="2592"/>
            <w:shd w:fill="FFFFFF"/>
            <w:tcMar>
              <w:top w:w="60" w:type="dxa"/>
              <w:bottom w:w="60" w:type="dxa"/>
              <w:left w:w="80" w:type="dxa"/>
              <w:right w:w="80" w:type="dxa"/>
            </w:tcMar>
          </w:tcPr>
          <w:p>
            <w:pPr>
              <w:jc w:val="left"/>
            </w:pPr>
            <w:r>
              <w:rPr>
                <w:color w:val="0F172A"/>
                <w:sz w:val="17"/>
              </w:rPr>
              <w:t>On-Time Delivery Rate</w:t>
            </w:r>
          </w:p>
        </w:tc>
        <w:tc>
          <w:tcPr>
            <w:tcW w:type="dxa" w:w="1728"/>
            <w:shd w:fill="FFFFFF"/>
            <w:tcMar>
              <w:top w:w="60" w:type="dxa"/>
              <w:bottom w:w="60" w:type="dxa"/>
              <w:left w:w="80" w:type="dxa"/>
              <w:right w:w="80" w:type="dxa"/>
            </w:tcMar>
          </w:tcPr>
          <w:p>
            <w:pPr>
              <w:jc w:val="center"/>
            </w:pPr>
            <w:r>
              <w:rPr>
                <w:color w:val="0F172A"/>
                <w:sz w:val="17"/>
              </w:rPr>
              <w:t>28.24%</w:t>
            </w:r>
          </w:p>
        </w:tc>
        <w:tc>
          <w:tcPr>
            <w:tcW w:type="dxa" w:w="1728"/>
            <w:shd w:fill="FFFFFF"/>
            <w:tcMar>
              <w:top w:w="60" w:type="dxa"/>
              <w:bottom w:w="60" w:type="dxa"/>
              <w:left w:w="80" w:type="dxa"/>
              <w:right w:w="80" w:type="dxa"/>
            </w:tcMar>
          </w:tcPr>
          <w:p>
            <w:pPr>
              <w:jc w:val="center"/>
            </w:pPr>
            <w:r>
              <w:rPr>
                <w:color w:val="0F172A"/>
                <w:sz w:val="17"/>
              </w:rPr>
              <w:t>&gt; 90.00%</w:t>
            </w:r>
          </w:p>
        </w:tc>
        <w:tc>
          <w:tcPr>
            <w:tcW w:type="dxa" w:w="3312"/>
            <w:shd w:fill="FFFFFF"/>
            <w:tcMar>
              <w:top w:w="60" w:type="dxa"/>
              <w:bottom w:w="60" w:type="dxa"/>
              <w:left w:w="80" w:type="dxa"/>
              <w:right w:w="80" w:type="dxa"/>
            </w:tcMar>
          </w:tcPr>
          <w:p>
            <w:pPr>
              <w:jc w:val="center"/>
            </w:pPr>
            <w:r>
              <w:rPr>
                <w:color w:val="0F172A"/>
                <w:sz w:val="17"/>
              </w:rPr>
              <w:t>Critical Operational Failure</w:t>
            </w:r>
          </w:p>
        </w:tc>
      </w:tr>
      <w:tr>
        <w:tc>
          <w:tcPr>
            <w:tcW w:type="dxa" w:w="2592"/>
            <w:shd w:fill="F1F5F9"/>
            <w:tcMar>
              <w:top w:w="60" w:type="dxa"/>
              <w:bottom w:w="60" w:type="dxa"/>
              <w:left w:w="80" w:type="dxa"/>
              <w:right w:w="80" w:type="dxa"/>
            </w:tcMar>
          </w:tcPr>
          <w:p>
            <w:pPr>
              <w:jc w:val="left"/>
            </w:pPr>
            <w:r>
              <w:rPr>
                <w:color w:val="0F172A"/>
                <w:sz w:val="17"/>
              </w:rPr>
              <w:t>Delivery Delay Rate</w:t>
            </w:r>
          </w:p>
        </w:tc>
        <w:tc>
          <w:tcPr>
            <w:tcW w:type="dxa" w:w="1728"/>
            <w:shd w:fill="F1F5F9"/>
            <w:tcMar>
              <w:top w:w="60" w:type="dxa"/>
              <w:bottom w:w="60" w:type="dxa"/>
              <w:left w:w="80" w:type="dxa"/>
              <w:right w:w="80" w:type="dxa"/>
            </w:tcMar>
          </w:tcPr>
          <w:p>
            <w:pPr>
              <w:jc w:val="center"/>
            </w:pPr>
            <w:r>
              <w:rPr>
                <w:color w:val="0F172A"/>
                <w:sz w:val="17"/>
              </w:rPr>
              <w:t>71.76%</w:t>
            </w:r>
          </w:p>
        </w:tc>
        <w:tc>
          <w:tcPr>
            <w:tcW w:type="dxa" w:w="1728"/>
            <w:shd w:fill="F1F5F9"/>
            <w:tcMar>
              <w:top w:w="60" w:type="dxa"/>
              <w:bottom w:w="60" w:type="dxa"/>
              <w:left w:w="80" w:type="dxa"/>
              <w:right w:w="80" w:type="dxa"/>
            </w:tcMar>
          </w:tcPr>
          <w:p>
            <w:pPr>
              <w:jc w:val="center"/>
            </w:pPr>
            <w:r>
              <w:rPr>
                <w:color w:val="0F172A"/>
                <w:sz w:val="17"/>
              </w:rPr>
              <w:t>&lt; 10.00%</w:t>
            </w:r>
          </w:p>
        </w:tc>
        <w:tc>
          <w:tcPr>
            <w:tcW w:type="dxa" w:w="3312"/>
            <w:shd w:fill="F1F5F9"/>
            <w:tcMar>
              <w:top w:w="60" w:type="dxa"/>
              <w:bottom w:w="60" w:type="dxa"/>
              <w:left w:w="80" w:type="dxa"/>
              <w:right w:w="80" w:type="dxa"/>
            </w:tcMar>
          </w:tcPr>
          <w:p>
            <w:pPr>
              <w:jc w:val="center"/>
            </w:pPr>
            <w:r>
              <w:rPr>
                <w:color w:val="0F172A"/>
                <w:sz w:val="17"/>
              </w:rPr>
              <w:t>Primary Network Bottleneck (897 late orders)</w:t>
            </w:r>
          </w:p>
        </w:tc>
      </w:tr>
      <w:tr>
        <w:tc>
          <w:tcPr>
            <w:tcW w:type="dxa" w:w="2592"/>
            <w:shd w:fill="FFFFFF"/>
            <w:tcMar>
              <w:top w:w="60" w:type="dxa"/>
              <w:bottom w:w="60" w:type="dxa"/>
              <w:left w:w="80" w:type="dxa"/>
              <w:right w:w="80" w:type="dxa"/>
            </w:tcMar>
          </w:tcPr>
          <w:p>
            <w:pPr>
              <w:jc w:val="left"/>
            </w:pPr>
            <w:r>
              <w:rPr>
                <w:color w:val="0F172A"/>
                <w:sz w:val="17"/>
              </w:rPr>
              <w:t>Average Transit Distance</w:t>
            </w:r>
          </w:p>
        </w:tc>
        <w:tc>
          <w:tcPr>
            <w:tcW w:type="dxa" w:w="1728"/>
            <w:shd w:fill="FFFFFF"/>
            <w:tcMar>
              <w:top w:w="60" w:type="dxa"/>
              <w:bottom w:w="60" w:type="dxa"/>
              <w:left w:w="80" w:type="dxa"/>
              <w:right w:w="80" w:type="dxa"/>
            </w:tcMar>
          </w:tcPr>
          <w:p>
            <w:pPr>
              <w:jc w:val="center"/>
            </w:pPr>
            <w:r>
              <w:rPr>
                <w:color w:val="0F172A"/>
                <w:sz w:val="17"/>
              </w:rPr>
              <w:t>819.43 KM</w:t>
            </w:r>
          </w:p>
        </w:tc>
        <w:tc>
          <w:tcPr>
            <w:tcW w:type="dxa" w:w="1728"/>
            <w:shd w:fill="FFFFFF"/>
            <w:tcMar>
              <w:top w:w="60" w:type="dxa"/>
              <w:bottom w:w="60" w:type="dxa"/>
              <w:left w:w="80" w:type="dxa"/>
              <w:right w:w="80" w:type="dxa"/>
            </w:tcMar>
          </w:tcPr>
          <w:p>
            <w:pPr>
              <w:jc w:val="center"/>
            </w:pPr>
            <w:r>
              <w:rPr>
                <w:color w:val="0F172A"/>
                <w:sz w:val="17"/>
              </w:rPr>
              <w:t>N/A</w:t>
            </w:r>
          </w:p>
        </w:tc>
        <w:tc>
          <w:tcPr>
            <w:tcW w:type="dxa" w:w="3312"/>
            <w:shd w:fill="FFFFFF"/>
            <w:tcMar>
              <w:top w:w="60" w:type="dxa"/>
              <w:bottom w:w="60" w:type="dxa"/>
              <w:left w:w="80" w:type="dxa"/>
              <w:right w:w="80" w:type="dxa"/>
            </w:tcMar>
          </w:tcPr>
          <w:p>
            <w:pPr>
              <w:jc w:val="center"/>
            </w:pPr>
            <w:r>
              <w:rPr>
                <w:color w:val="0F172A"/>
                <w:sz w:val="17"/>
              </w:rPr>
              <w:t>Domestic multi-state distribution baseline</w:t>
            </w:r>
          </w:p>
        </w:tc>
      </w:tr>
      <w:tr>
        <w:tc>
          <w:tcPr>
            <w:tcW w:type="dxa" w:w="2592"/>
            <w:shd w:fill="F1F5F9"/>
            <w:tcMar>
              <w:top w:w="60" w:type="dxa"/>
              <w:bottom w:w="60" w:type="dxa"/>
              <w:left w:w="80" w:type="dxa"/>
              <w:right w:w="80" w:type="dxa"/>
            </w:tcMar>
          </w:tcPr>
          <w:p>
            <w:pPr>
              <w:jc w:val="left"/>
            </w:pPr>
            <w:r>
              <w:rPr>
                <w:color w:val="0F172A"/>
                <w:sz w:val="17"/>
              </w:rPr>
              <w:t>Average Cost per KM</w:t>
            </w:r>
          </w:p>
        </w:tc>
        <w:tc>
          <w:tcPr>
            <w:tcW w:type="dxa" w:w="1728"/>
            <w:shd w:fill="F1F5F9"/>
            <w:tcMar>
              <w:top w:w="60" w:type="dxa"/>
              <w:bottom w:w="60" w:type="dxa"/>
              <w:left w:w="80" w:type="dxa"/>
              <w:right w:w="80" w:type="dxa"/>
            </w:tcMar>
          </w:tcPr>
          <w:p>
            <w:pPr>
              <w:jc w:val="center"/>
            </w:pPr>
            <w:r>
              <w:rPr>
                <w:color w:val="0F172A"/>
                <w:sz w:val="17"/>
              </w:rPr>
              <w:t>$0.1302 / KM</w:t>
            </w:r>
          </w:p>
        </w:tc>
        <w:tc>
          <w:tcPr>
            <w:tcW w:type="dxa" w:w="1728"/>
            <w:shd w:fill="F1F5F9"/>
            <w:tcMar>
              <w:top w:w="60" w:type="dxa"/>
              <w:bottom w:w="60" w:type="dxa"/>
              <w:left w:w="80" w:type="dxa"/>
              <w:right w:w="80" w:type="dxa"/>
            </w:tcMar>
          </w:tcPr>
          <w:p>
            <w:pPr>
              <w:jc w:val="center"/>
            </w:pPr>
            <w:r>
              <w:rPr>
                <w:color w:val="0F172A"/>
                <w:sz w:val="17"/>
              </w:rPr>
              <w:t>&lt; $0.1000/KM</w:t>
            </w:r>
          </w:p>
        </w:tc>
        <w:tc>
          <w:tcPr>
            <w:tcW w:type="dxa" w:w="3312"/>
            <w:shd w:fill="F1F5F9"/>
            <w:tcMar>
              <w:top w:w="60" w:type="dxa"/>
              <w:bottom w:w="60" w:type="dxa"/>
              <w:left w:w="80" w:type="dxa"/>
              <w:right w:w="80" w:type="dxa"/>
            </w:tcMar>
          </w:tcPr>
          <w:p>
            <w:pPr>
              <w:jc w:val="center"/>
            </w:pPr>
            <w:r>
              <w:rPr>
                <w:color w:val="0F172A"/>
                <w:sz w:val="17"/>
              </w:rPr>
              <w:t>Premium service tiers drive up unit cost</w:t>
            </w:r>
          </w:p>
        </w:tc>
      </w:tr>
      <w:tr>
        <w:tc>
          <w:tcPr>
            <w:tcW w:type="dxa" w:w="2592"/>
            <w:shd w:fill="FFFFFF"/>
            <w:tcMar>
              <w:top w:w="60" w:type="dxa"/>
              <w:bottom w:w="60" w:type="dxa"/>
              <w:left w:w="80" w:type="dxa"/>
              <w:right w:w="80" w:type="dxa"/>
            </w:tcMar>
          </w:tcPr>
          <w:p>
            <w:pPr>
              <w:jc w:val="left"/>
            </w:pPr>
            <w:r>
              <w:rPr>
                <w:color w:val="0F172A"/>
                <w:sz w:val="17"/>
              </w:rPr>
              <w:t>Average Cost per Item Unit</w:t>
            </w:r>
          </w:p>
        </w:tc>
        <w:tc>
          <w:tcPr>
            <w:tcW w:type="dxa" w:w="1728"/>
            <w:shd w:fill="FFFFFF"/>
            <w:tcMar>
              <w:top w:w="60" w:type="dxa"/>
              <w:bottom w:w="60" w:type="dxa"/>
              <w:left w:w="80" w:type="dxa"/>
              <w:right w:w="80" w:type="dxa"/>
            </w:tcMar>
          </w:tcPr>
          <w:p>
            <w:pPr>
              <w:jc w:val="center"/>
            </w:pPr>
            <w:r>
              <w:rPr>
                <w:color w:val="0F172A"/>
                <w:sz w:val="17"/>
              </w:rPr>
              <w:t>$49.42 / Unit</w:t>
            </w:r>
          </w:p>
        </w:tc>
        <w:tc>
          <w:tcPr>
            <w:tcW w:type="dxa" w:w="1728"/>
            <w:shd w:fill="FFFFFF"/>
            <w:tcMar>
              <w:top w:w="60" w:type="dxa"/>
              <w:bottom w:w="60" w:type="dxa"/>
              <w:left w:w="80" w:type="dxa"/>
              <w:right w:w="80" w:type="dxa"/>
            </w:tcMar>
          </w:tcPr>
          <w:p>
            <w:pPr>
              <w:jc w:val="center"/>
            </w:pPr>
            <w:r>
              <w:rPr>
                <w:color w:val="0F172A"/>
                <w:sz w:val="17"/>
              </w:rPr>
              <w:t>&lt; $35.00/Unit</w:t>
            </w:r>
          </w:p>
        </w:tc>
        <w:tc>
          <w:tcPr>
            <w:tcW w:type="dxa" w:w="3312"/>
            <w:shd w:fill="FFFFFF"/>
            <w:tcMar>
              <w:top w:w="60" w:type="dxa"/>
              <w:bottom w:w="60" w:type="dxa"/>
              <w:left w:w="80" w:type="dxa"/>
              <w:right w:w="80" w:type="dxa"/>
            </w:tcMar>
          </w:tcPr>
          <w:p>
            <w:pPr>
              <w:jc w:val="center"/>
            </w:pPr>
            <w:r>
              <w:rPr>
                <w:color w:val="0F172A"/>
                <w:sz w:val="17"/>
              </w:rPr>
              <w:t>Squeezed by low-quantity single-item orders</w:t>
            </w:r>
          </w:p>
        </w:tc>
      </w:tr>
      <w:tr>
        <w:tc>
          <w:tcPr>
            <w:tcW w:type="dxa" w:w="2592"/>
            <w:shd w:fill="F1F5F9"/>
            <w:tcMar>
              <w:top w:w="60" w:type="dxa"/>
              <w:bottom w:w="60" w:type="dxa"/>
              <w:left w:w="80" w:type="dxa"/>
              <w:right w:w="80" w:type="dxa"/>
            </w:tcMar>
          </w:tcPr>
          <w:p>
            <w:pPr>
              <w:jc w:val="left"/>
            </w:pPr>
            <w:r>
              <w:rPr>
                <w:color w:val="0F172A"/>
                <w:sz w:val="17"/>
              </w:rPr>
              <w:t>Average Customer Rating</w:t>
            </w:r>
          </w:p>
        </w:tc>
        <w:tc>
          <w:tcPr>
            <w:tcW w:type="dxa" w:w="1728"/>
            <w:shd w:fill="F1F5F9"/>
            <w:tcMar>
              <w:top w:w="60" w:type="dxa"/>
              <w:bottom w:w="60" w:type="dxa"/>
              <w:left w:w="80" w:type="dxa"/>
              <w:right w:w="80" w:type="dxa"/>
            </w:tcMar>
          </w:tcPr>
          <w:p>
            <w:pPr>
              <w:jc w:val="center"/>
            </w:pPr>
            <w:r>
              <w:rPr>
                <w:color w:val="0F172A"/>
                <w:sz w:val="17"/>
              </w:rPr>
              <w:t>3.63 / 5.0</w:t>
            </w:r>
          </w:p>
        </w:tc>
        <w:tc>
          <w:tcPr>
            <w:tcW w:type="dxa" w:w="1728"/>
            <w:shd w:fill="F1F5F9"/>
            <w:tcMar>
              <w:top w:w="60" w:type="dxa"/>
              <w:bottom w:w="60" w:type="dxa"/>
              <w:left w:w="80" w:type="dxa"/>
              <w:right w:w="80" w:type="dxa"/>
            </w:tcMar>
          </w:tcPr>
          <w:p>
            <w:pPr>
              <w:jc w:val="center"/>
            </w:pPr>
            <w:r>
              <w:rPr>
                <w:color w:val="0F172A"/>
                <w:sz w:val="17"/>
              </w:rPr>
              <w:t>&gt; 4.20 / 5.0</w:t>
            </w:r>
          </w:p>
        </w:tc>
        <w:tc>
          <w:tcPr>
            <w:tcW w:type="dxa" w:w="3312"/>
            <w:shd w:fill="F1F5F9"/>
            <w:tcMar>
              <w:top w:w="60" w:type="dxa"/>
              <w:bottom w:w="60" w:type="dxa"/>
              <w:left w:w="80" w:type="dxa"/>
              <w:right w:w="80" w:type="dxa"/>
            </w:tcMar>
          </w:tcPr>
          <w:p>
            <w:pPr>
              <w:jc w:val="center"/>
            </w:pPr>
            <w:r>
              <w:rPr>
                <w:color w:val="0F172A"/>
                <w:sz w:val="17"/>
              </w:rPr>
              <w:t>Subdued due to pervasive delivery delays</w:t>
            </w:r>
          </w:p>
        </w:tc>
      </w:tr>
      <w:tr>
        <w:tc>
          <w:tcPr>
            <w:tcW w:type="dxa" w:w="2592"/>
            <w:shd w:fill="FFFFFF"/>
            <w:tcMar>
              <w:top w:w="60" w:type="dxa"/>
              <w:bottom w:w="60" w:type="dxa"/>
              <w:left w:w="80" w:type="dxa"/>
              <w:right w:w="80" w:type="dxa"/>
            </w:tcMar>
          </w:tcPr>
          <w:p>
            <w:pPr>
              <w:jc w:val="left"/>
            </w:pPr>
            <w:r>
              <w:rPr>
                <w:color w:val="0F172A"/>
                <w:sz w:val="17"/>
              </w:rPr>
              <w:t>Average Order Processing Days</w:t>
            </w:r>
          </w:p>
        </w:tc>
        <w:tc>
          <w:tcPr>
            <w:tcW w:type="dxa" w:w="1728"/>
            <w:shd w:fill="FFFFFF"/>
            <w:tcMar>
              <w:top w:w="60" w:type="dxa"/>
              <w:bottom w:w="60" w:type="dxa"/>
              <w:left w:w="80" w:type="dxa"/>
              <w:right w:w="80" w:type="dxa"/>
            </w:tcMar>
          </w:tcPr>
          <w:p>
            <w:pPr>
              <w:jc w:val="center"/>
            </w:pPr>
            <w:r>
              <w:rPr>
                <w:color w:val="0F172A"/>
                <w:sz w:val="17"/>
              </w:rPr>
              <w:t>2.43 Days</w:t>
            </w:r>
          </w:p>
        </w:tc>
        <w:tc>
          <w:tcPr>
            <w:tcW w:type="dxa" w:w="1728"/>
            <w:shd w:fill="FFFFFF"/>
            <w:tcMar>
              <w:top w:w="60" w:type="dxa"/>
              <w:bottom w:w="60" w:type="dxa"/>
              <w:left w:w="80" w:type="dxa"/>
              <w:right w:w="80" w:type="dxa"/>
            </w:tcMar>
          </w:tcPr>
          <w:p>
            <w:pPr>
              <w:jc w:val="center"/>
            </w:pPr>
            <w:r>
              <w:rPr>
                <w:color w:val="0F172A"/>
                <w:sz w:val="17"/>
              </w:rPr>
              <w:t>&lt; 1.50 Days</w:t>
            </w:r>
          </w:p>
        </w:tc>
        <w:tc>
          <w:tcPr>
            <w:tcW w:type="dxa" w:w="3312"/>
            <w:shd w:fill="FFFFFF"/>
            <w:tcMar>
              <w:top w:w="60" w:type="dxa"/>
              <w:bottom w:w="60" w:type="dxa"/>
              <w:left w:w="80" w:type="dxa"/>
              <w:right w:w="80" w:type="dxa"/>
            </w:tcMar>
          </w:tcPr>
          <w:p>
            <w:pPr>
              <w:jc w:val="center"/>
            </w:pPr>
            <w:r>
              <w:rPr>
                <w:color w:val="0F172A"/>
                <w:sz w:val="17"/>
              </w:rPr>
              <w:t>Warehouse dispatch dwell time consumes buffer</w:t>
            </w:r>
          </w:p>
        </w:tc>
      </w:tr>
    </w:tbl>
    <w:p>
      <w:pPr>
        <w:spacing w:after="160"/>
      </w:pPr>
    </w:p>
    <w:p>
      <w:pPr>
        <w:pStyle w:val="Heading1"/>
        <w:keepNext/>
        <w:spacing w:before="360" w:after="120"/>
      </w:pPr>
      <w:r>
        <w:rPr>
          <w:rFonts w:ascii="Segoe UI Semibold" w:hAnsi="Segoe UI Semibold"/>
          <w:b/>
          <w:color w:val="1E3A8A"/>
          <w:sz w:val="32"/>
        </w:rPr>
        <w:t>12. Correlation Analysis</w:t>
      </w:r>
    </w:p>
    <w:p>
      <w:pPr>
        <w:spacing w:after="120" w:line="276" w:lineRule="auto"/>
      </w:pPr>
      <w:r>
        <w:rPr>
          <w:rFonts w:ascii="Segoe UI" w:hAnsi="Segoe UI"/>
          <w:i w:val="0"/>
          <w:sz w:val="20"/>
        </w:rPr>
        <w:t>A bivariate Pearson correlation analysis was conducted across all continuous numerical logistics features, accompanied by two-tailed hypothesis testing (p &lt; 0.05).</w:t>
      </w:r>
    </w:p>
    <w:p>
      <w:pPr>
        <w:spacing w:before="160" w:after="60"/>
        <w:jc w:val="center"/>
      </w:pPr>
      <w:r>
        <w:drawing>
          <wp:inline xmlns:a="http://schemas.openxmlformats.org/drawingml/2006/main" xmlns:pic="http://schemas.openxmlformats.org/drawingml/2006/picture">
            <wp:extent cx="5303520" cy="4800447"/>
            <wp:docPr id="7" name="Picture 7"/>
            <wp:cNvGraphicFramePr>
              <a:graphicFrameLocks noChangeAspect="1"/>
            </wp:cNvGraphicFramePr>
            <a:graphic>
              <a:graphicData uri="http://schemas.openxmlformats.org/drawingml/2006/picture">
                <pic:pic>
                  <pic:nvPicPr>
                    <pic:cNvPr id="0" name="09_correlation_heatmap.png"/>
                    <pic:cNvPicPr/>
                  </pic:nvPicPr>
                  <pic:blipFill>
                    <a:blip r:embed="rId17"/>
                    <a:stretch>
                      <a:fillRect/>
                    </a:stretch>
                  </pic:blipFill>
                  <pic:spPr>
                    <a:xfrm>
                      <a:off x="0" y="0"/>
                      <a:ext cx="5303520" cy="4800447"/>
                    </a:xfrm>
                    <a:prstGeom prst="rect"/>
                  </pic:spPr>
                </pic:pic>
              </a:graphicData>
            </a:graphic>
          </wp:inline>
        </w:drawing>
      </w:r>
    </w:p>
    <w:p>
      <w:pPr>
        <w:spacing w:after="240"/>
        <w:jc w:val="center"/>
      </w:pPr>
      <w:r>
        <w:rPr>
          <w:rFonts w:ascii="Segoe UI" w:hAnsi="Segoe UI"/>
          <w:i/>
          <w:color w:val="64748B"/>
          <w:sz w:val="17"/>
        </w:rPr>
        <w:t>Figure: Pearson correlation coefficient matrix across key numerical logistics features.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E3A8A"/>
            <w:tcMar>
              <w:top w:w="80" w:type="dxa"/>
              <w:bottom w:w="80" w:type="dxa"/>
              <w:left w:w="90" w:type="dxa"/>
              <w:right w:w="90" w:type="dxa"/>
            </w:tcMar>
          </w:tcPr>
          <w:p>
            <w:pPr>
              <w:jc w:val="center"/>
            </w:pPr>
            <w:r>
              <w:rPr>
                <w:b/>
                <w:color w:val="FFFFFF"/>
                <w:sz w:val="18"/>
              </w:rPr>
              <w:t>Feature 1</w:t>
            </w:r>
          </w:p>
        </w:tc>
        <w:tc>
          <w:tcPr>
            <w:tcW w:type="dxa" w:w="2016"/>
            <w:shd w:fill="1E3A8A"/>
            <w:tcMar>
              <w:top w:w="80" w:type="dxa"/>
              <w:bottom w:w="80" w:type="dxa"/>
              <w:left w:w="90" w:type="dxa"/>
              <w:right w:w="90" w:type="dxa"/>
            </w:tcMar>
          </w:tcPr>
          <w:p>
            <w:pPr>
              <w:jc w:val="center"/>
            </w:pPr>
            <w:r>
              <w:rPr>
                <w:b/>
                <w:color w:val="FFFFFF"/>
                <w:sz w:val="18"/>
              </w:rPr>
              <w:t>Feature 2</w:t>
            </w:r>
          </w:p>
        </w:tc>
        <w:tc>
          <w:tcPr>
            <w:tcW w:type="dxa" w:w="1152"/>
            <w:shd w:fill="1E3A8A"/>
            <w:tcMar>
              <w:top w:w="80" w:type="dxa"/>
              <w:bottom w:w="80" w:type="dxa"/>
              <w:left w:w="90" w:type="dxa"/>
              <w:right w:w="90" w:type="dxa"/>
            </w:tcMar>
          </w:tcPr>
          <w:p>
            <w:pPr>
              <w:jc w:val="center"/>
            </w:pPr>
            <w:r>
              <w:rPr>
                <w:b/>
                <w:color w:val="FFFFFF"/>
                <w:sz w:val="18"/>
              </w:rPr>
              <w:t>Pearson r</w:t>
            </w:r>
          </w:p>
        </w:tc>
        <w:tc>
          <w:tcPr>
            <w:tcW w:type="dxa" w:w="1296"/>
            <w:shd w:fill="1E3A8A"/>
            <w:tcMar>
              <w:top w:w="80" w:type="dxa"/>
              <w:bottom w:w="80" w:type="dxa"/>
              <w:left w:w="90" w:type="dxa"/>
              <w:right w:w="90" w:type="dxa"/>
            </w:tcMar>
          </w:tcPr>
          <w:p>
            <w:pPr>
              <w:jc w:val="center"/>
            </w:pPr>
            <w:r>
              <w:rPr>
                <w:b/>
                <w:color w:val="FFFFFF"/>
                <w:sz w:val="18"/>
              </w:rPr>
              <w:t>p-value</w:t>
            </w:r>
          </w:p>
        </w:tc>
        <w:tc>
          <w:tcPr>
            <w:tcW w:type="dxa" w:w="2880"/>
            <w:shd w:fill="1E3A8A"/>
            <w:tcMar>
              <w:top w:w="80" w:type="dxa"/>
              <w:bottom w:w="80" w:type="dxa"/>
              <w:left w:w="90" w:type="dxa"/>
              <w:right w:w="90" w:type="dxa"/>
            </w:tcMar>
          </w:tcPr>
          <w:p>
            <w:pPr>
              <w:jc w:val="center"/>
            </w:pPr>
            <w:r>
              <w:rPr>
                <w:b/>
                <w:color w:val="FFFFFF"/>
                <w:sz w:val="18"/>
              </w:rPr>
              <w:t>Direction &amp; Operational Meaning</w:t>
            </w:r>
          </w:p>
        </w:tc>
      </w:tr>
      <w:tr>
        <w:tc>
          <w:tcPr>
            <w:tcW w:type="dxa" w:w="2016"/>
            <w:shd w:fill="FFFFFF"/>
            <w:tcMar>
              <w:top w:w="60" w:type="dxa"/>
              <w:bottom w:w="60" w:type="dxa"/>
              <w:left w:w="80" w:type="dxa"/>
              <w:right w:w="80" w:type="dxa"/>
            </w:tcMar>
          </w:tcPr>
          <w:p>
            <w:pPr>
              <w:jc w:val="left"/>
            </w:pPr>
            <w:r>
              <w:rPr>
                <w:color w:val="0F172A"/>
                <w:sz w:val="17"/>
              </w:rPr>
              <w:t>Distance_KM</w:t>
            </w:r>
          </w:p>
        </w:tc>
        <w:tc>
          <w:tcPr>
            <w:tcW w:type="dxa" w:w="2016"/>
            <w:shd w:fill="FFFFFF"/>
            <w:tcMar>
              <w:top w:w="60" w:type="dxa"/>
              <w:bottom w:w="60" w:type="dxa"/>
              <w:left w:w="80" w:type="dxa"/>
              <w:right w:w="80" w:type="dxa"/>
            </w:tcMar>
          </w:tcPr>
          <w:p>
            <w:pPr>
              <w:jc w:val="center"/>
            </w:pPr>
            <w:r>
              <w:rPr>
                <w:color w:val="0F172A"/>
                <w:sz w:val="17"/>
              </w:rPr>
              <w:t>Shipping_Cost_USD</w:t>
            </w:r>
          </w:p>
        </w:tc>
        <w:tc>
          <w:tcPr>
            <w:tcW w:type="dxa" w:w="1152"/>
            <w:shd w:fill="FFFFFF"/>
            <w:tcMar>
              <w:top w:w="60" w:type="dxa"/>
              <w:bottom w:w="60" w:type="dxa"/>
              <w:left w:w="80" w:type="dxa"/>
              <w:right w:w="80" w:type="dxa"/>
            </w:tcMar>
          </w:tcPr>
          <w:p>
            <w:pPr>
              <w:jc w:val="center"/>
            </w:pPr>
            <w:r>
              <w:rPr>
                <w:color w:val="0F172A"/>
                <w:sz w:val="17"/>
              </w:rPr>
              <w:t>+0.6724</w:t>
            </w:r>
          </w:p>
        </w:tc>
        <w:tc>
          <w:tcPr>
            <w:tcW w:type="dxa" w:w="1296"/>
            <w:shd w:fill="FFFFFF"/>
            <w:tcMar>
              <w:top w:w="60" w:type="dxa"/>
              <w:bottom w:w="60" w:type="dxa"/>
              <w:left w:w="80" w:type="dxa"/>
              <w:right w:w="80" w:type="dxa"/>
            </w:tcMar>
          </w:tcPr>
          <w:p>
            <w:pPr>
              <w:jc w:val="center"/>
            </w:pPr>
            <w:r>
              <w:rPr>
                <w:color w:val="0F172A"/>
                <w:sz w:val="17"/>
              </w:rPr>
              <w:t>p &lt; 0.0001</w:t>
            </w:r>
          </w:p>
        </w:tc>
        <w:tc>
          <w:tcPr>
            <w:tcW w:type="dxa" w:w="2880"/>
            <w:shd w:fill="FFFFFF"/>
            <w:tcMar>
              <w:top w:w="60" w:type="dxa"/>
              <w:bottom w:w="60" w:type="dxa"/>
              <w:left w:w="80" w:type="dxa"/>
              <w:right w:w="80" w:type="dxa"/>
            </w:tcMar>
          </w:tcPr>
          <w:p>
            <w:pPr>
              <w:jc w:val="center"/>
            </w:pPr>
            <w:r>
              <w:rPr>
                <w:color w:val="0F172A"/>
                <w:sz w:val="17"/>
              </w:rPr>
              <w:t>Strong Positive: Transit distance is the primary linear driver of freight spend.</w:t>
            </w:r>
          </w:p>
        </w:tc>
      </w:tr>
      <w:tr>
        <w:tc>
          <w:tcPr>
            <w:tcW w:type="dxa" w:w="2016"/>
            <w:shd w:fill="F1F5F9"/>
            <w:tcMar>
              <w:top w:w="60" w:type="dxa"/>
              <w:bottom w:w="60" w:type="dxa"/>
              <w:left w:w="80" w:type="dxa"/>
              <w:right w:w="80" w:type="dxa"/>
            </w:tcMar>
          </w:tcPr>
          <w:p>
            <w:pPr>
              <w:jc w:val="left"/>
            </w:pPr>
            <w:r>
              <w:rPr>
                <w:color w:val="0F172A"/>
                <w:sz w:val="17"/>
              </w:rPr>
              <w:t>Distance_KM</w:t>
            </w:r>
          </w:p>
        </w:tc>
        <w:tc>
          <w:tcPr>
            <w:tcW w:type="dxa" w:w="2016"/>
            <w:shd w:fill="F1F5F9"/>
            <w:tcMar>
              <w:top w:w="60" w:type="dxa"/>
              <w:bottom w:w="60" w:type="dxa"/>
              <w:left w:w="80" w:type="dxa"/>
              <w:right w:w="80" w:type="dxa"/>
            </w:tcMar>
          </w:tcPr>
          <w:p>
            <w:pPr>
              <w:jc w:val="center"/>
            </w:pPr>
            <w:r>
              <w:rPr>
                <w:color w:val="0F172A"/>
                <w:sz w:val="17"/>
              </w:rPr>
              <w:t>Delivery_Time_Days</w:t>
            </w:r>
          </w:p>
        </w:tc>
        <w:tc>
          <w:tcPr>
            <w:tcW w:type="dxa" w:w="1152"/>
            <w:shd w:fill="F1F5F9"/>
            <w:tcMar>
              <w:top w:w="60" w:type="dxa"/>
              <w:bottom w:w="60" w:type="dxa"/>
              <w:left w:w="80" w:type="dxa"/>
              <w:right w:w="80" w:type="dxa"/>
            </w:tcMar>
          </w:tcPr>
          <w:p>
            <w:pPr>
              <w:jc w:val="center"/>
            </w:pPr>
            <w:r>
              <w:rPr>
                <w:color w:val="0F172A"/>
                <w:sz w:val="17"/>
              </w:rPr>
              <w:t>+0.5218</w:t>
            </w:r>
          </w:p>
        </w:tc>
        <w:tc>
          <w:tcPr>
            <w:tcW w:type="dxa" w:w="1296"/>
            <w:shd w:fill="F1F5F9"/>
            <w:tcMar>
              <w:top w:w="60" w:type="dxa"/>
              <w:bottom w:w="60" w:type="dxa"/>
              <w:left w:w="80" w:type="dxa"/>
              <w:right w:w="80" w:type="dxa"/>
            </w:tcMar>
          </w:tcPr>
          <w:p>
            <w:pPr>
              <w:jc w:val="center"/>
            </w:pPr>
            <w:r>
              <w:rPr>
                <w:color w:val="0F172A"/>
                <w:sz w:val="17"/>
              </w:rPr>
              <w:t>p &lt; 0.0001</w:t>
            </w:r>
          </w:p>
        </w:tc>
        <w:tc>
          <w:tcPr>
            <w:tcW w:type="dxa" w:w="2880"/>
            <w:shd w:fill="F1F5F9"/>
            <w:tcMar>
              <w:top w:w="60" w:type="dxa"/>
              <w:bottom w:w="60" w:type="dxa"/>
              <w:left w:w="80" w:type="dxa"/>
              <w:right w:w="80" w:type="dxa"/>
            </w:tcMar>
          </w:tcPr>
          <w:p>
            <w:pPr>
              <w:jc w:val="center"/>
            </w:pPr>
            <w:r>
              <w:rPr>
                <w:color w:val="0F172A"/>
                <w:sz w:val="17"/>
              </w:rPr>
              <w:t>Moderate Positive: Greater distances increase line-haul transit latency.</w:t>
            </w:r>
          </w:p>
        </w:tc>
      </w:tr>
      <w:tr>
        <w:tc>
          <w:tcPr>
            <w:tcW w:type="dxa" w:w="2016"/>
            <w:shd w:fill="FFFFFF"/>
            <w:tcMar>
              <w:top w:w="60" w:type="dxa"/>
              <w:bottom w:w="60" w:type="dxa"/>
              <w:left w:w="80" w:type="dxa"/>
              <w:right w:w="80" w:type="dxa"/>
            </w:tcMar>
          </w:tcPr>
          <w:p>
            <w:pPr>
              <w:jc w:val="left"/>
            </w:pPr>
            <w:r>
              <w:rPr>
                <w:color w:val="0F172A"/>
                <w:sz w:val="17"/>
              </w:rPr>
              <w:t>Delivery_Time_Days</w:t>
            </w:r>
          </w:p>
        </w:tc>
        <w:tc>
          <w:tcPr>
            <w:tcW w:type="dxa" w:w="2016"/>
            <w:shd w:fill="FFFFFF"/>
            <w:tcMar>
              <w:top w:w="60" w:type="dxa"/>
              <w:bottom w:w="60" w:type="dxa"/>
              <w:left w:w="80" w:type="dxa"/>
              <w:right w:w="80" w:type="dxa"/>
            </w:tcMar>
          </w:tcPr>
          <w:p>
            <w:pPr>
              <w:jc w:val="center"/>
            </w:pPr>
            <w:r>
              <w:rPr>
                <w:color w:val="0F172A"/>
                <w:sz w:val="17"/>
              </w:rPr>
              <w:t>Customer_Rating</w:t>
            </w:r>
          </w:p>
        </w:tc>
        <w:tc>
          <w:tcPr>
            <w:tcW w:type="dxa" w:w="1152"/>
            <w:shd w:fill="FFFFFF"/>
            <w:tcMar>
              <w:top w:w="60" w:type="dxa"/>
              <w:bottom w:w="60" w:type="dxa"/>
              <w:left w:w="80" w:type="dxa"/>
              <w:right w:w="80" w:type="dxa"/>
            </w:tcMar>
          </w:tcPr>
          <w:p>
            <w:pPr>
              <w:jc w:val="center"/>
            </w:pPr>
            <w:r>
              <w:rPr>
                <w:color w:val="0F172A"/>
                <w:sz w:val="17"/>
              </w:rPr>
              <w:t>-0.4812</w:t>
            </w:r>
          </w:p>
        </w:tc>
        <w:tc>
          <w:tcPr>
            <w:tcW w:type="dxa" w:w="1296"/>
            <w:shd w:fill="FFFFFF"/>
            <w:tcMar>
              <w:top w:w="60" w:type="dxa"/>
              <w:bottom w:w="60" w:type="dxa"/>
              <w:left w:w="80" w:type="dxa"/>
              <w:right w:w="80" w:type="dxa"/>
            </w:tcMar>
          </w:tcPr>
          <w:p>
            <w:pPr>
              <w:jc w:val="center"/>
            </w:pPr>
            <w:r>
              <w:rPr>
                <w:color w:val="0F172A"/>
                <w:sz w:val="17"/>
              </w:rPr>
              <w:t>p &lt; 0.0001</w:t>
            </w:r>
          </w:p>
        </w:tc>
        <w:tc>
          <w:tcPr>
            <w:tcW w:type="dxa" w:w="2880"/>
            <w:shd w:fill="FFFFFF"/>
            <w:tcMar>
              <w:top w:w="60" w:type="dxa"/>
              <w:bottom w:w="60" w:type="dxa"/>
              <w:left w:w="80" w:type="dxa"/>
              <w:right w:w="80" w:type="dxa"/>
            </w:tcMar>
          </w:tcPr>
          <w:p>
            <w:pPr>
              <w:jc w:val="center"/>
            </w:pPr>
            <w:r>
              <w:rPr>
                <w:color w:val="0F172A"/>
                <w:sz w:val="17"/>
              </w:rPr>
              <w:t>Moderate Negative: Longer turnaround significantly degrades customer ratings.</w:t>
            </w:r>
          </w:p>
        </w:tc>
      </w:tr>
      <w:tr>
        <w:tc>
          <w:tcPr>
            <w:tcW w:type="dxa" w:w="2016"/>
            <w:shd w:fill="F1F5F9"/>
            <w:tcMar>
              <w:top w:w="60" w:type="dxa"/>
              <w:bottom w:w="60" w:type="dxa"/>
              <w:left w:w="80" w:type="dxa"/>
              <w:right w:w="80" w:type="dxa"/>
            </w:tcMar>
          </w:tcPr>
          <w:p>
            <w:pPr>
              <w:jc w:val="left"/>
            </w:pPr>
            <w:r>
              <w:rPr>
                <w:color w:val="0F172A"/>
                <w:sz w:val="17"/>
              </w:rPr>
              <w:t>Cost_Per_KM</w:t>
            </w:r>
          </w:p>
        </w:tc>
        <w:tc>
          <w:tcPr>
            <w:tcW w:type="dxa" w:w="2016"/>
            <w:shd w:fill="F1F5F9"/>
            <w:tcMar>
              <w:top w:w="60" w:type="dxa"/>
              <w:bottom w:w="60" w:type="dxa"/>
              <w:left w:w="80" w:type="dxa"/>
              <w:right w:w="80" w:type="dxa"/>
            </w:tcMar>
          </w:tcPr>
          <w:p>
            <w:pPr>
              <w:jc w:val="center"/>
            </w:pPr>
            <w:r>
              <w:rPr>
                <w:color w:val="0F172A"/>
                <w:sz w:val="17"/>
              </w:rPr>
              <w:t>Delivery_Time_Days</w:t>
            </w:r>
          </w:p>
        </w:tc>
        <w:tc>
          <w:tcPr>
            <w:tcW w:type="dxa" w:w="1152"/>
            <w:shd w:fill="F1F5F9"/>
            <w:tcMar>
              <w:top w:w="60" w:type="dxa"/>
              <w:bottom w:w="60" w:type="dxa"/>
              <w:left w:w="80" w:type="dxa"/>
              <w:right w:w="80" w:type="dxa"/>
            </w:tcMar>
          </w:tcPr>
          <w:p>
            <w:pPr>
              <w:jc w:val="center"/>
            </w:pPr>
            <w:r>
              <w:rPr>
                <w:color w:val="0F172A"/>
                <w:sz w:val="17"/>
              </w:rPr>
              <w:t>-0.4531</w:t>
            </w:r>
          </w:p>
        </w:tc>
        <w:tc>
          <w:tcPr>
            <w:tcW w:type="dxa" w:w="1296"/>
            <w:shd w:fill="F1F5F9"/>
            <w:tcMar>
              <w:top w:w="60" w:type="dxa"/>
              <w:bottom w:w="60" w:type="dxa"/>
              <w:left w:w="80" w:type="dxa"/>
              <w:right w:w="80" w:type="dxa"/>
            </w:tcMar>
          </w:tcPr>
          <w:p>
            <w:pPr>
              <w:jc w:val="center"/>
            </w:pPr>
            <w:r>
              <w:rPr>
                <w:color w:val="0F172A"/>
                <w:sz w:val="17"/>
              </w:rPr>
              <w:t>p &lt; 0.0001</w:t>
            </w:r>
          </w:p>
        </w:tc>
        <w:tc>
          <w:tcPr>
            <w:tcW w:type="dxa" w:w="2880"/>
            <w:shd w:fill="F1F5F9"/>
            <w:tcMar>
              <w:top w:w="60" w:type="dxa"/>
              <w:bottom w:w="60" w:type="dxa"/>
              <w:left w:w="80" w:type="dxa"/>
              <w:right w:w="80" w:type="dxa"/>
            </w:tcMar>
          </w:tcPr>
          <w:p>
            <w:pPr>
              <w:jc w:val="center"/>
            </w:pPr>
            <w:r>
              <w:rPr>
                <w:color w:val="0F172A"/>
                <w:sz w:val="17"/>
              </w:rPr>
              <w:t>Moderate Negative: High cost-per-km tiers correspond to faster delivery times.</w:t>
            </w:r>
          </w:p>
        </w:tc>
      </w:tr>
      <w:tr>
        <w:tc>
          <w:tcPr>
            <w:tcW w:type="dxa" w:w="2016"/>
            <w:shd w:fill="FFFFFF"/>
            <w:tcMar>
              <w:top w:w="60" w:type="dxa"/>
              <w:bottom w:w="60" w:type="dxa"/>
              <w:left w:w="80" w:type="dxa"/>
              <w:right w:w="80" w:type="dxa"/>
            </w:tcMar>
          </w:tcPr>
          <w:p>
            <w:pPr>
              <w:jc w:val="left"/>
            </w:pPr>
            <w:r>
              <w:rPr>
                <w:color w:val="0F172A"/>
                <w:sz w:val="17"/>
              </w:rPr>
              <w:t>Sales_USD</w:t>
            </w:r>
          </w:p>
        </w:tc>
        <w:tc>
          <w:tcPr>
            <w:tcW w:type="dxa" w:w="2016"/>
            <w:shd w:fill="FFFFFF"/>
            <w:tcMar>
              <w:top w:w="60" w:type="dxa"/>
              <w:bottom w:w="60" w:type="dxa"/>
              <w:left w:w="80" w:type="dxa"/>
              <w:right w:w="80" w:type="dxa"/>
            </w:tcMar>
          </w:tcPr>
          <w:p>
            <w:pPr>
              <w:jc w:val="center"/>
            </w:pPr>
            <w:r>
              <w:rPr>
                <w:color w:val="0F172A"/>
                <w:sz w:val="17"/>
              </w:rPr>
              <w:t>Quantity</w:t>
            </w:r>
          </w:p>
        </w:tc>
        <w:tc>
          <w:tcPr>
            <w:tcW w:type="dxa" w:w="1152"/>
            <w:shd w:fill="FFFFFF"/>
            <w:tcMar>
              <w:top w:w="60" w:type="dxa"/>
              <w:bottom w:w="60" w:type="dxa"/>
              <w:left w:w="80" w:type="dxa"/>
              <w:right w:w="80" w:type="dxa"/>
            </w:tcMar>
          </w:tcPr>
          <w:p>
            <w:pPr>
              <w:jc w:val="center"/>
            </w:pPr>
            <w:r>
              <w:rPr>
                <w:color w:val="0F172A"/>
                <w:sz w:val="17"/>
              </w:rPr>
              <w:t>+0.4128</w:t>
            </w:r>
          </w:p>
        </w:tc>
        <w:tc>
          <w:tcPr>
            <w:tcW w:type="dxa" w:w="1296"/>
            <w:shd w:fill="FFFFFF"/>
            <w:tcMar>
              <w:top w:w="60" w:type="dxa"/>
              <w:bottom w:w="60" w:type="dxa"/>
              <w:left w:w="80" w:type="dxa"/>
              <w:right w:w="80" w:type="dxa"/>
            </w:tcMar>
          </w:tcPr>
          <w:p>
            <w:pPr>
              <w:jc w:val="center"/>
            </w:pPr>
            <w:r>
              <w:rPr>
                <w:color w:val="0F172A"/>
                <w:sz w:val="17"/>
              </w:rPr>
              <w:t>p &lt; 0.0001</w:t>
            </w:r>
          </w:p>
        </w:tc>
        <w:tc>
          <w:tcPr>
            <w:tcW w:type="dxa" w:w="2880"/>
            <w:shd w:fill="FFFFFF"/>
            <w:tcMar>
              <w:top w:w="60" w:type="dxa"/>
              <w:bottom w:w="60" w:type="dxa"/>
              <w:left w:w="80" w:type="dxa"/>
              <w:right w:w="80" w:type="dxa"/>
            </w:tcMar>
          </w:tcPr>
          <w:p>
            <w:pPr>
              <w:jc w:val="center"/>
            </w:pPr>
            <w:r>
              <w:rPr>
                <w:color w:val="0F172A"/>
                <w:sz w:val="17"/>
              </w:rPr>
              <w:t>Moderate Positive: Larger item quantities expand gross order commercial value.</w:t>
            </w:r>
          </w:p>
        </w:tc>
      </w:tr>
    </w:tbl>
    <w:p>
      <w:pPr>
        <w:spacing w:after="160"/>
      </w:pPr>
    </w:p>
    <w:p>
      <w:pPr>
        <w:pStyle w:val="Heading1"/>
        <w:keepNext/>
        <w:spacing w:before="360" w:after="120"/>
      </w:pPr>
      <w:r>
        <w:rPr>
          <w:rFonts w:ascii="Segoe UI Semibold" w:hAnsi="Segoe UI Semibold"/>
          <w:b/>
          <w:color w:val="1E3A8A"/>
          <w:sz w:val="32"/>
        </w:rPr>
        <w:t>13. Trend Analysis</w:t>
      </w:r>
    </w:p>
    <w:p>
      <w:pPr>
        <w:spacing w:after="120" w:line="276" w:lineRule="auto"/>
      </w:pPr>
      <w:r>
        <w:rPr>
          <w:rFonts w:ascii="Segoe UI" w:hAnsi="Segoe UI"/>
          <w:i w:val="0"/>
          <w:sz w:val="20"/>
        </w:rPr>
        <w:t>Temporal analysis evaluated operational volume, commercial sales, and freight expenditures across the 6-month observation window (January 2024 to June 2024). Operational volume remained steady at approx 208 orders per month, with delay rates consistently hovering between 70.6% and 73.3%.</w:t>
      </w:r>
    </w:p>
    <w:p>
      <w:pPr>
        <w:spacing w:before="160" w:after="60"/>
        <w:jc w:val="center"/>
      </w:pPr>
      <w:r>
        <w:drawing>
          <wp:inline xmlns:a="http://schemas.openxmlformats.org/drawingml/2006/main" xmlns:pic="http://schemas.openxmlformats.org/drawingml/2006/picture">
            <wp:extent cx="5303520" cy="2764618"/>
            <wp:docPr id="8" name="Picture 8"/>
            <wp:cNvGraphicFramePr>
              <a:graphicFrameLocks noChangeAspect="1"/>
            </wp:cNvGraphicFramePr>
            <a:graphic>
              <a:graphicData uri="http://schemas.openxmlformats.org/drawingml/2006/picture">
                <pic:pic>
                  <pic:nvPicPr>
                    <pic:cNvPr id="0" name="10_monthly_order_volume_cost_trend.png"/>
                    <pic:cNvPicPr/>
                  </pic:nvPicPr>
                  <pic:blipFill>
                    <a:blip r:embed="rId18"/>
                    <a:stretch>
                      <a:fillRect/>
                    </a:stretch>
                  </pic:blipFill>
                  <pic:spPr>
                    <a:xfrm>
                      <a:off x="0" y="0"/>
                      <a:ext cx="5303520" cy="2764618"/>
                    </a:xfrm>
                    <a:prstGeom prst="rect"/>
                  </pic:spPr>
                </pic:pic>
              </a:graphicData>
            </a:graphic>
          </wp:inline>
        </w:drawing>
      </w:r>
    </w:p>
    <w:p>
      <w:pPr>
        <w:spacing w:after="240"/>
        <w:jc w:val="center"/>
      </w:pPr>
      <w:r>
        <w:rPr>
          <w:rFonts w:ascii="Segoe UI" w:hAnsi="Segoe UI"/>
          <w:i/>
          <w:color w:val="64748B"/>
          <w:sz w:val="17"/>
        </w:rPr>
        <w:t>Figure: Monthly shipment order volume and total transportation expenditure dynamics (2024).</w:t>
      </w:r>
    </w:p>
    <w:p>
      <w:pPr>
        <w:pStyle w:val="Heading1"/>
        <w:keepNext/>
        <w:spacing w:before="360" w:after="120"/>
      </w:pPr>
      <w:r>
        <w:rPr>
          <w:rFonts w:ascii="Segoe UI Semibold" w:hAnsi="Segoe UI Semibold"/>
          <w:b/>
          <w:color w:val="1E3A8A"/>
          <w:sz w:val="32"/>
        </w:rPr>
        <w:t>14. Regional Performance Analysis</w:t>
      </w:r>
    </w:p>
    <w:p>
      <w:pPr>
        <w:spacing w:after="120" w:line="276" w:lineRule="auto"/>
      </w:pPr>
      <w:r>
        <w:rPr>
          <w:rFonts w:ascii="Segoe UI" w:hAnsi="Segoe UI"/>
          <w:i w:val="0"/>
          <w:sz w:val="20"/>
        </w:rPr>
        <w:t>Geographic destination territories were analyzed to identify regional fulfillment imbalances, transit latency bottlenecks, and customer satisfaction friction.</w:t>
      </w:r>
    </w:p>
    <w:p>
      <w:pPr>
        <w:spacing w:before="160" w:after="60"/>
        <w:jc w:val="center"/>
      </w:pPr>
      <w:r>
        <w:drawing>
          <wp:inline xmlns:a="http://schemas.openxmlformats.org/drawingml/2006/main" xmlns:pic="http://schemas.openxmlformats.org/drawingml/2006/picture">
            <wp:extent cx="5303520" cy="3504409"/>
            <wp:docPr id="9" name="Picture 9"/>
            <wp:cNvGraphicFramePr>
              <a:graphicFrameLocks noChangeAspect="1"/>
            </wp:cNvGraphicFramePr>
            <a:graphic>
              <a:graphicData uri="http://schemas.openxmlformats.org/drawingml/2006/picture">
                <pic:pic>
                  <pic:nvPicPr>
                    <pic:cNvPr id="0" name="03_shipment_volume_by_region.png"/>
                    <pic:cNvPicPr/>
                  </pic:nvPicPr>
                  <pic:blipFill>
                    <a:blip r:embed="rId19"/>
                    <a:stretch>
                      <a:fillRect/>
                    </a:stretch>
                  </pic:blipFill>
                  <pic:spPr>
                    <a:xfrm>
                      <a:off x="0" y="0"/>
                      <a:ext cx="5303520" cy="3504409"/>
                    </a:xfrm>
                    <a:prstGeom prst="rect"/>
                  </pic:spPr>
                </pic:pic>
              </a:graphicData>
            </a:graphic>
          </wp:inline>
        </w:drawing>
      </w:r>
    </w:p>
    <w:p>
      <w:pPr>
        <w:spacing w:after="240"/>
        <w:jc w:val="center"/>
      </w:pPr>
      <w:r>
        <w:rPr>
          <w:rFonts w:ascii="Segoe UI" w:hAnsi="Segoe UI"/>
          <w:i/>
          <w:color w:val="64748B"/>
          <w:sz w:val="17"/>
        </w:rPr>
        <w:t>Figure: Total shipment order volume distribution across destination geographic regions.</w:t>
      </w:r>
    </w:p>
    <w:p>
      <w:pPr>
        <w:spacing w:before="160" w:after="60"/>
        <w:jc w:val="center"/>
      </w:pPr>
      <w:r>
        <w:drawing>
          <wp:inline xmlns:a="http://schemas.openxmlformats.org/drawingml/2006/main" xmlns:pic="http://schemas.openxmlformats.org/drawingml/2006/picture">
            <wp:extent cx="5303520" cy="2489589"/>
            <wp:docPr id="10" name="Picture 10"/>
            <wp:cNvGraphicFramePr>
              <a:graphicFrameLocks noChangeAspect="1"/>
            </wp:cNvGraphicFramePr>
            <a:graphic>
              <a:graphicData uri="http://schemas.openxmlformats.org/drawingml/2006/picture">
                <pic:pic>
                  <pic:nvPicPr>
                    <pic:cNvPr id="0" name="04_avg_delivery_time_by_region_warehouse.png"/>
                    <pic:cNvPicPr/>
                  </pic:nvPicPr>
                  <pic:blipFill>
                    <a:blip r:embed="rId20"/>
                    <a:stretch>
                      <a:fillRect/>
                    </a:stretch>
                  </pic:blipFill>
                  <pic:spPr>
                    <a:xfrm>
                      <a:off x="0" y="0"/>
                      <a:ext cx="5303520" cy="2489589"/>
                    </a:xfrm>
                    <a:prstGeom prst="rect"/>
                  </pic:spPr>
                </pic:pic>
              </a:graphicData>
            </a:graphic>
          </wp:inline>
        </w:drawing>
      </w:r>
    </w:p>
    <w:p>
      <w:pPr>
        <w:spacing w:after="240"/>
        <w:jc w:val="center"/>
      </w:pPr>
      <w:r>
        <w:rPr>
          <w:rFonts w:ascii="Segoe UI" w:hAnsi="Segoe UI"/>
          <w:i/>
          <w:color w:val="64748B"/>
          <w:sz w:val="17"/>
        </w:rPr>
        <w:t>Figure: Multi-hub fulfillment latency (days) by destination region and origin warehouse center.</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440"/>
            <w:shd w:fill="1E3A8A"/>
            <w:tcMar>
              <w:top w:w="80" w:type="dxa"/>
              <w:bottom w:w="80" w:type="dxa"/>
              <w:left w:w="90" w:type="dxa"/>
              <w:right w:w="90" w:type="dxa"/>
            </w:tcMar>
          </w:tcPr>
          <w:p>
            <w:pPr>
              <w:jc w:val="center"/>
            </w:pPr>
            <w:r>
              <w:rPr>
                <w:b/>
                <w:color w:val="FFFFFF"/>
                <w:sz w:val="18"/>
              </w:rPr>
              <w:t>Region</w:t>
            </w:r>
          </w:p>
        </w:tc>
        <w:tc>
          <w:tcPr>
            <w:tcW w:type="dxa" w:w="1008"/>
            <w:shd w:fill="1E3A8A"/>
            <w:tcMar>
              <w:top w:w="80" w:type="dxa"/>
              <w:bottom w:w="80" w:type="dxa"/>
              <w:left w:w="90" w:type="dxa"/>
              <w:right w:w="90" w:type="dxa"/>
            </w:tcMar>
          </w:tcPr>
          <w:p>
            <w:pPr>
              <w:jc w:val="center"/>
            </w:pPr>
            <w:r>
              <w:rPr>
                <w:b/>
                <w:color w:val="FFFFFF"/>
                <w:sz w:val="18"/>
              </w:rPr>
              <w:t>Orders</w:t>
            </w:r>
          </w:p>
        </w:tc>
        <w:tc>
          <w:tcPr>
            <w:tcW w:type="dxa" w:w="1152"/>
            <w:shd w:fill="1E3A8A"/>
            <w:tcMar>
              <w:top w:w="80" w:type="dxa"/>
              <w:bottom w:w="80" w:type="dxa"/>
              <w:left w:w="90" w:type="dxa"/>
              <w:right w:w="90" w:type="dxa"/>
            </w:tcMar>
          </w:tcPr>
          <w:p>
            <w:pPr>
              <w:jc w:val="center"/>
            </w:pPr>
            <w:r>
              <w:rPr>
                <w:b/>
                <w:color w:val="FFFFFF"/>
                <w:sz w:val="18"/>
              </w:rPr>
              <w:t>Share (%)</w:t>
            </w:r>
          </w:p>
        </w:tc>
        <w:tc>
          <w:tcPr>
            <w:tcW w:type="dxa" w:w="1440"/>
            <w:shd w:fill="1E3A8A"/>
            <w:tcMar>
              <w:top w:w="80" w:type="dxa"/>
              <w:bottom w:w="80" w:type="dxa"/>
              <w:left w:w="90" w:type="dxa"/>
              <w:right w:w="90" w:type="dxa"/>
            </w:tcMar>
          </w:tcPr>
          <w:p>
            <w:pPr>
              <w:jc w:val="center"/>
            </w:pPr>
            <w:r>
              <w:rPr>
                <w:b/>
                <w:color w:val="FFFFFF"/>
                <w:sz w:val="18"/>
              </w:rPr>
              <w:t>Sales ($)</w:t>
            </w:r>
          </w:p>
        </w:tc>
        <w:tc>
          <w:tcPr>
            <w:tcW w:type="dxa" w:w="1584"/>
            <w:shd w:fill="1E3A8A"/>
            <w:tcMar>
              <w:top w:w="80" w:type="dxa"/>
              <w:bottom w:w="80" w:type="dxa"/>
              <w:left w:w="90" w:type="dxa"/>
              <w:right w:w="90" w:type="dxa"/>
            </w:tcMar>
          </w:tcPr>
          <w:p>
            <w:pPr>
              <w:jc w:val="center"/>
            </w:pPr>
            <w:r>
              <w:rPr>
                <w:b/>
                <w:color w:val="FFFFFF"/>
                <w:sz w:val="18"/>
              </w:rPr>
              <w:t>Shipping Spend ($)</w:t>
            </w:r>
          </w:p>
        </w:tc>
        <w:tc>
          <w:tcPr>
            <w:tcW w:type="dxa" w:w="1440"/>
            <w:shd w:fill="1E3A8A"/>
            <w:tcMar>
              <w:top w:w="80" w:type="dxa"/>
              <w:bottom w:w="80" w:type="dxa"/>
              <w:left w:w="90" w:type="dxa"/>
              <w:right w:w="90" w:type="dxa"/>
            </w:tcMar>
          </w:tcPr>
          <w:p>
            <w:pPr>
              <w:jc w:val="center"/>
            </w:pPr>
            <w:r>
              <w:rPr>
                <w:b/>
                <w:color w:val="FFFFFF"/>
                <w:sz w:val="18"/>
              </w:rPr>
              <w:t>Avg Latency (d)</w:t>
            </w:r>
          </w:p>
        </w:tc>
        <w:tc>
          <w:tcPr>
            <w:tcW w:type="dxa" w:w="1440"/>
            <w:shd w:fill="1E3A8A"/>
            <w:tcMar>
              <w:top w:w="80" w:type="dxa"/>
              <w:bottom w:w="80" w:type="dxa"/>
              <w:left w:w="90" w:type="dxa"/>
              <w:right w:w="90" w:type="dxa"/>
            </w:tcMar>
          </w:tcPr>
          <w:p>
            <w:pPr>
              <w:jc w:val="center"/>
            </w:pPr>
            <w:r>
              <w:rPr>
                <w:b/>
                <w:color w:val="FFFFFF"/>
                <w:sz w:val="18"/>
              </w:rPr>
              <w:t>Delay Rate (%)</w:t>
            </w:r>
          </w:p>
        </w:tc>
        <w:tc>
          <w:tcPr>
            <w:tcW w:type="dxa" w:w="1296"/>
            <w:shd w:fill="1E3A8A"/>
            <w:tcMar>
              <w:top w:w="80" w:type="dxa"/>
              <w:bottom w:w="80" w:type="dxa"/>
              <w:left w:w="90" w:type="dxa"/>
              <w:right w:w="90" w:type="dxa"/>
            </w:tcMar>
          </w:tcPr>
          <w:p>
            <w:pPr>
              <w:jc w:val="center"/>
            </w:pPr>
            <w:r>
              <w:rPr>
                <w:b/>
                <w:color w:val="FFFFFF"/>
                <w:sz w:val="18"/>
              </w:rPr>
              <w:t>Avg Rating</w:t>
            </w:r>
          </w:p>
        </w:tc>
      </w:tr>
      <w:tr>
        <w:tc>
          <w:tcPr>
            <w:tcW w:type="dxa" w:w="1440"/>
            <w:shd w:fill="FFFFFF"/>
            <w:tcMar>
              <w:top w:w="60" w:type="dxa"/>
              <w:bottom w:w="60" w:type="dxa"/>
              <w:left w:w="80" w:type="dxa"/>
              <w:right w:w="80" w:type="dxa"/>
            </w:tcMar>
          </w:tcPr>
          <w:p>
            <w:pPr>
              <w:jc w:val="left"/>
            </w:pPr>
            <w:r>
              <w:rPr>
                <w:color w:val="0F172A"/>
                <w:sz w:val="17"/>
              </w:rPr>
              <w:t>North</w:t>
            </w:r>
          </w:p>
        </w:tc>
        <w:tc>
          <w:tcPr>
            <w:tcW w:type="dxa" w:w="1008"/>
            <w:shd w:fill="FFFFFF"/>
            <w:tcMar>
              <w:top w:w="60" w:type="dxa"/>
              <w:bottom w:w="60" w:type="dxa"/>
              <w:left w:w="80" w:type="dxa"/>
              <w:right w:w="80" w:type="dxa"/>
            </w:tcMar>
          </w:tcPr>
          <w:p>
            <w:pPr>
              <w:jc w:val="center"/>
            </w:pPr>
            <w:r>
              <w:rPr>
                <w:color w:val="0F172A"/>
                <w:sz w:val="17"/>
              </w:rPr>
              <w:t>320</w:t>
            </w:r>
          </w:p>
        </w:tc>
        <w:tc>
          <w:tcPr>
            <w:tcW w:type="dxa" w:w="1152"/>
            <w:shd w:fill="FFFFFF"/>
            <w:tcMar>
              <w:top w:w="60" w:type="dxa"/>
              <w:bottom w:w="60" w:type="dxa"/>
              <w:left w:w="80" w:type="dxa"/>
              <w:right w:w="80" w:type="dxa"/>
            </w:tcMar>
          </w:tcPr>
          <w:p>
            <w:pPr>
              <w:jc w:val="center"/>
            </w:pPr>
            <w:r>
              <w:rPr>
                <w:color w:val="0F172A"/>
                <w:sz w:val="17"/>
              </w:rPr>
              <w:t>25.60%</w:t>
            </w:r>
          </w:p>
        </w:tc>
        <w:tc>
          <w:tcPr>
            <w:tcW w:type="dxa" w:w="1440"/>
            <w:shd w:fill="FFFFFF"/>
            <w:tcMar>
              <w:top w:w="60" w:type="dxa"/>
              <w:bottom w:w="60" w:type="dxa"/>
              <w:left w:w="80" w:type="dxa"/>
              <w:right w:w="80" w:type="dxa"/>
            </w:tcMar>
          </w:tcPr>
          <w:p>
            <w:pPr>
              <w:jc w:val="center"/>
            </w:pPr>
            <w:r>
              <w:rPr>
                <w:color w:val="0F172A"/>
                <w:sz w:val="17"/>
              </w:rPr>
              <w:t>$210,652.41</w:t>
            </w:r>
          </w:p>
        </w:tc>
        <w:tc>
          <w:tcPr>
            <w:tcW w:type="dxa" w:w="1584"/>
            <w:shd w:fill="FFFFFF"/>
            <w:tcMar>
              <w:top w:w="60" w:type="dxa"/>
              <w:bottom w:w="60" w:type="dxa"/>
              <w:left w:w="80" w:type="dxa"/>
              <w:right w:w="80" w:type="dxa"/>
            </w:tcMar>
          </w:tcPr>
          <w:p>
            <w:pPr>
              <w:jc w:val="center"/>
            </w:pPr>
            <w:r>
              <w:rPr>
                <w:color w:val="0F172A"/>
                <w:sz w:val="17"/>
              </w:rPr>
              <w:t>$30,140.32</w:t>
            </w:r>
          </w:p>
        </w:tc>
        <w:tc>
          <w:tcPr>
            <w:tcW w:type="dxa" w:w="1440"/>
            <w:shd w:fill="FFFFFF"/>
            <w:tcMar>
              <w:top w:w="60" w:type="dxa"/>
              <w:bottom w:w="60" w:type="dxa"/>
              <w:left w:w="80" w:type="dxa"/>
              <w:right w:w="80" w:type="dxa"/>
            </w:tcMar>
          </w:tcPr>
          <w:p>
            <w:pPr>
              <w:jc w:val="center"/>
            </w:pPr>
            <w:r>
              <w:rPr>
                <w:color w:val="0F172A"/>
                <w:sz w:val="17"/>
              </w:rPr>
              <w:t>4.90</w:t>
            </w:r>
          </w:p>
        </w:tc>
        <w:tc>
          <w:tcPr>
            <w:tcW w:type="dxa" w:w="1440"/>
            <w:shd w:fill="FFFFFF"/>
            <w:tcMar>
              <w:top w:w="60" w:type="dxa"/>
              <w:bottom w:w="60" w:type="dxa"/>
              <w:left w:w="80" w:type="dxa"/>
              <w:right w:w="80" w:type="dxa"/>
            </w:tcMar>
          </w:tcPr>
          <w:p>
            <w:pPr>
              <w:jc w:val="center"/>
            </w:pPr>
            <w:r>
              <w:rPr>
                <w:color w:val="0F172A"/>
                <w:sz w:val="17"/>
              </w:rPr>
              <w:t>68.75%</w:t>
            </w:r>
          </w:p>
        </w:tc>
        <w:tc>
          <w:tcPr>
            <w:tcW w:type="dxa" w:w="1296"/>
            <w:shd w:fill="FFFFFF"/>
            <w:tcMar>
              <w:top w:w="60" w:type="dxa"/>
              <w:bottom w:w="60" w:type="dxa"/>
              <w:left w:w="80" w:type="dxa"/>
              <w:right w:w="80" w:type="dxa"/>
            </w:tcMar>
          </w:tcPr>
          <w:p>
            <w:pPr>
              <w:jc w:val="center"/>
            </w:pPr>
            <w:r>
              <w:rPr>
                <w:color w:val="0F172A"/>
                <w:sz w:val="17"/>
              </w:rPr>
              <w:t>3.76</w:t>
            </w:r>
          </w:p>
        </w:tc>
      </w:tr>
      <w:tr>
        <w:tc>
          <w:tcPr>
            <w:tcW w:type="dxa" w:w="1440"/>
            <w:shd w:fill="F1F5F9"/>
            <w:tcMar>
              <w:top w:w="60" w:type="dxa"/>
              <w:bottom w:w="60" w:type="dxa"/>
              <w:left w:w="80" w:type="dxa"/>
              <w:right w:w="80" w:type="dxa"/>
            </w:tcMar>
          </w:tcPr>
          <w:p>
            <w:pPr>
              <w:jc w:val="left"/>
            </w:pPr>
            <w:r>
              <w:rPr>
                <w:color w:val="0F172A"/>
                <w:sz w:val="17"/>
              </w:rPr>
              <w:t>West</w:t>
            </w:r>
          </w:p>
        </w:tc>
        <w:tc>
          <w:tcPr>
            <w:tcW w:type="dxa" w:w="1008"/>
            <w:shd w:fill="F1F5F9"/>
            <w:tcMar>
              <w:top w:w="60" w:type="dxa"/>
              <w:bottom w:w="60" w:type="dxa"/>
              <w:left w:w="80" w:type="dxa"/>
              <w:right w:w="80" w:type="dxa"/>
            </w:tcMar>
          </w:tcPr>
          <w:p>
            <w:pPr>
              <w:jc w:val="center"/>
            </w:pPr>
            <w:r>
              <w:rPr>
                <w:color w:val="0F172A"/>
                <w:sz w:val="17"/>
              </w:rPr>
              <w:t>278</w:t>
            </w:r>
          </w:p>
        </w:tc>
        <w:tc>
          <w:tcPr>
            <w:tcW w:type="dxa" w:w="1152"/>
            <w:shd w:fill="F1F5F9"/>
            <w:tcMar>
              <w:top w:w="60" w:type="dxa"/>
              <w:bottom w:w="60" w:type="dxa"/>
              <w:left w:w="80" w:type="dxa"/>
              <w:right w:w="80" w:type="dxa"/>
            </w:tcMar>
          </w:tcPr>
          <w:p>
            <w:pPr>
              <w:jc w:val="center"/>
            </w:pPr>
            <w:r>
              <w:rPr>
                <w:color w:val="0F172A"/>
                <w:sz w:val="17"/>
              </w:rPr>
              <w:t>22.24%</w:t>
            </w:r>
          </w:p>
        </w:tc>
        <w:tc>
          <w:tcPr>
            <w:tcW w:type="dxa" w:w="1440"/>
            <w:shd w:fill="F1F5F9"/>
            <w:tcMar>
              <w:top w:w="60" w:type="dxa"/>
              <w:bottom w:w="60" w:type="dxa"/>
              <w:left w:w="80" w:type="dxa"/>
              <w:right w:w="80" w:type="dxa"/>
            </w:tcMar>
          </w:tcPr>
          <w:p>
            <w:pPr>
              <w:jc w:val="center"/>
            </w:pPr>
            <w:r>
              <w:rPr>
                <w:color w:val="0F172A"/>
                <w:sz w:val="17"/>
              </w:rPr>
              <w:t>$164,033.12</w:t>
            </w:r>
          </w:p>
        </w:tc>
        <w:tc>
          <w:tcPr>
            <w:tcW w:type="dxa" w:w="1584"/>
            <w:shd w:fill="F1F5F9"/>
            <w:tcMar>
              <w:top w:w="60" w:type="dxa"/>
              <w:bottom w:w="60" w:type="dxa"/>
              <w:left w:w="80" w:type="dxa"/>
              <w:right w:w="80" w:type="dxa"/>
            </w:tcMar>
          </w:tcPr>
          <w:p>
            <w:pPr>
              <w:jc w:val="center"/>
            </w:pPr>
            <w:r>
              <w:rPr>
                <w:color w:val="0F172A"/>
                <w:sz w:val="17"/>
              </w:rPr>
              <w:t>$26,397.28</w:t>
            </w:r>
          </w:p>
        </w:tc>
        <w:tc>
          <w:tcPr>
            <w:tcW w:type="dxa" w:w="1440"/>
            <w:shd w:fill="F1F5F9"/>
            <w:tcMar>
              <w:top w:w="60" w:type="dxa"/>
              <w:bottom w:w="60" w:type="dxa"/>
              <w:left w:w="80" w:type="dxa"/>
              <w:right w:w="80" w:type="dxa"/>
            </w:tcMar>
          </w:tcPr>
          <w:p>
            <w:pPr>
              <w:jc w:val="center"/>
            </w:pPr>
            <w:r>
              <w:rPr>
                <w:color w:val="0F172A"/>
                <w:sz w:val="17"/>
              </w:rPr>
              <w:t>4.97</w:t>
            </w:r>
          </w:p>
        </w:tc>
        <w:tc>
          <w:tcPr>
            <w:tcW w:type="dxa" w:w="1440"/>
            <w:shd w:fill="F1F5F9"/>
            <w:tcMar>
              <w:top w:w="60" w:type="dxa"/>
              <w:bottom w:w="60" w:type="dxa"/>
              <w:left w:w="80" w:type="dxa"/>
              <w:right w:w="80" w:type="dxa"/>
            </w:tcMar>
          </w:tcPr>
          <w:p>
            <w:pPr>
              <w:jc w:val="center"/>
            </w:pPr>
            <w:r>
              <w:rPr>
                <w:color w:val="0F172A"/>
                <w:sz w:val="17"/>
              </w:rPr>
              <w:t>71.58%</w:t>
            </w:r>
          </w:p>
        </w:tc>
        <w:tc>
          <w:tcPr>
            <w:tcW w:type="dxa" w:w="1296"/>
            <w:shd w:fill="F1F5F9"/>
            <w:tcMar>
              <w:top w:w="60" w:type="dxa"/>
              <w:bottom w:w="60" w:type="dxa"/>
              <w:left w:w="80" w:type="dxa"/>
              <w:right w:w="80" w:type="dxa"/>
            </w:tcMar>
          </w:tcPr>
          <w:p>
            <w:pPr>
              <w:jc w:val="center"/>
            </w:pPr>
            <w:r>
              <w:rPr>
                <w:color w:val="0F172A"/>
                <w:sz w:val="17"/>
              </w:rPr>
              <w:t>3.62</w:t>
            </w:r>
          </w:p>
        </w:tc>
      </w:tr>
      <w:tr>
        <w:tc>
          <w:tcPr>
            <w:tcW w:type="dxa" w:w="1440"/>
            <w:shd w:fill="FFFFFF"/>
            <w:tcMar>
              <w:top w:w="60" w:type="dxa"/>
              <w:bottom w:w="60" w:type="dxa"/>
              <w:left w:w="80" w:type="dxa"/>
              <w:right w:w="80" w:type="dxa"/>
            </w:tcMar>
          </w:tcPr>
          <w:p>
            <w:pPr>
              <w:jc w:val="left"/>
            </w:pPr>
            <w:r>
              <w:rPr>
                <w:color w:val="0F172A"/>
                <w:sz w:val="17"/>
              </w:rPr>
              <w:t>South</w:t>
            </w:r>
          </w:p>
        </w:tc>
        <w:tc>
          <w:tcPr>
            <w:tcW w:type="dxa" w:w="1008"/>
            <w:shd w:fill="FFFFFF"/>
            <w:tcMar>
              <w:top w:w="60" w:type="dxa"/>
              <w:bottom w:w="60" w:type="dxa"/>
              <w:left w:w="80" w:type="dxa"/>
              <w:right w:w="80" w:type="dxa"/>
            </w:tcMar>
          </w:tcPr>
          <w:p>
            <w:pPr>
              <w:jc w:val="center"/>
            </w:pPr>
            <w:r>
              <w:rPr>
                <w:color w:val="0F172A"/>
                <w:sz w:val="17"/>
              </w:rPr>
              <w:t>252</w:t>
            </w:r>
          </w:p>
        </w:tc>
        <w:tc>
          <w:tcPr>
            <w:tcW w:type="dxa" w:w="1152"/>
            <w:shd w:fill="FFFFFF"/>
            <w:tcMar>
              <w:top w:w="60" w:type="dxa"/>
              <w:bottom w:w="60" w:type="dxa"/>
              <w:left w:w="80" w:type="dxa"/>
              <w:right w:w="80" w:type="dxa"/>
            </w:tcMar>
          </w:tcPr>
          <w:p>
            <w:pPr>
              <w:jc w:val="center"/>
            </w:pPr>
            <w:r>
              <w:rPr>
                <w:color w:val="0F172A"/>
                <w:sz w:val="17"/>
              </w:rPr>
              <w:t>20.16%</w:t>
            </w:r>
          </w:p>
        </w:tc>
        <w:tc>
          <w:tcPr>
            <w:tcW w:type="dxa" w:w="1440"/>
            <w:shd w:fill="FFFFFF"/>
            <w:tcMar>
              <w:top w:w="60" w:type="dxa"/>
              <w:bottom w:w="60" w:type="dxa"/>
              <w:left w:w="80" w:type="dxa"/>
              <w:right w:w="80" w:type="dxa"/>
            </w:tcMar>
          </w:tcPr>
          <w:p>
            <w:pPr>
              <w:jc w:val="center"/>
            </w:pPr>
            <w:r>
              <w:rPr>
                <w:color w:val="0F172A"/>
                <w:sz w:val="17"/>
              </w:rPr>
              <w:t>$161,683.44</w:t>
            </w:r>
          </w:p>
        </w:tc>
        <w:tc>
          <w:tcPr>
            <w:tcW w:type="dxa" w:w="1584"/>
            <w:shd w:fill="FFFFFF"/>
            <w:tcMar>
              <w:top w:w="60" w:type="dxa"/>
              <w:bottom w:w="60" w:type="dxa"/>
              <w:left w:w="80" w:type="dxa"/>
              <w:right w:w="80" w:type="dxa"/>
            </w:tcMar>
          </w:tcPr>
          <w:p>
            <w:pPr>
              <w:jc w:val="center"/>
            </w:pPr>
            <w:r>
              <w:rPr>
                <w:color w:val="0F172A"/>
                <w:sz w:val="17"/>
              </w:rPr>
              <w:t>$23,430.95</w:t>
            </w:r>
          </w:p>
        </w:tc>
        <w:tc>
          <w:tcPr>
            <w:tcW w:type="dxa" w:w="1440"/>
            <w:shd w:fill="FFFFFF"/>
            <w:tcMar>
              <w:top w:w="60" w:type="dxa"/>
              <w:bottom w:w="60" w:type="dxa"/>
              <w:left w:w="80" w:type="dxa"/>
              <w:right w:w="80" w:type="dxa"/>
            </w:tcMar>
          </w:tcPr>
          <w:p>
            <w:pPr>
              <w:jc w:val="center"/>
            </w:pPr>
            <w:r>
              <w:rPr>
                <w:color w:val="0F172A"/>
                <w:sz w:val="17"/>
              </w:rPr>
              <w:t>5.19</w:t>
            </w:r>
          </w:p>
        </w:tc>
        <w:tc>
          <w:tcPr>
            <w:tcW w:type="dxa" w:w="1440"/>
            <w:shd w:fill="FFFFFF"/>
            <w:tcMar>
              <w:top w:w="60" w:type="dxa"/>
              <w:bottom w:w="60" w:type="dxa"/>
              <w:left w:w="80" w:type="dxa"/>
              <w:right w:w="80" w:type="dxa"/>
            </w:tcMar>
          </w:tcPr>
          <w:p>
            <w:pPr>
              <w:jc w:val="center"/>
            </w:pPr>
            <w:r>
              <w:rPr>
                <w:color w:val="0F172A"/>
                <w:sz w:val="17"/>
              </w:rPr>
              <w:t>76.98%</w:t>
            </w:r>
          </w:p>
        </w:tc>
        <w:tc>
          <w:tcPr>
            <w:tcW w:type="dxa" w:w="1296"/>
            <w:shd w:fill="FFFFFF"/>
            <w:tcMar>
              <w:top w:w="60" w:type="dxa"/>
              <w:bottom w:w="60" w:type="dxa"/>
              <w:left w:w="80" w:type="dxa"/>
              <w:right w:w="80" w:type="dxa"/>
            </w:tcMar>
          </w:tcPr>
          <w:p>
            <w:pPr>
              <w:jc w:val="center"/>
            </w:pPr>
            <w:r>
              <w:rPr>
                <w:color w:val="0F172A"/>
                <w:sz w:val="17"/>
              </w:rPr>
              <w:t>3.50</w:t>
            </w:r>
          </w:p>
        </w:tc>
      </w:tr>
      <w:tr>
        <w:tc>
          <w:tcPr>
            <w:tcW w:type="dxa" w:w="1440"/>
            <w:shd w:fill="F1F5F9"/>
            <w:tcMar>
              <w:top w:w="60" w:type="dxa"/>
              <w:bottom w:w="60" w:type="dxa"/>
              <w:left w:w="80" w:type="dxa"/>
              <w:right w:w="80" w:type="dxa"/>
            </w:tcMar>
          </w:tcPr>
          <w:p>
            <w:pPr>
              <w:jc w:val="left"/>
            </w:pPr>
            <w:r>
              <w:rPr>
                <w:color w:val="0F172A"/>
                <w:sz w:val="17"/>
              </w:rPr>
              <w:t>East</w:t>
            </w:r>
          </w:p>
        </w:tc>
        <w:tc>
          <w:tcPr>
            <w:tcW w:type="dxa" w:w="1008"/>
            <w:shd w:fill="F1F5F9"/>
            <w:tcMar>
              <w:top w:w="60" w:type="dxa"/>
              <w:bottom w:w="60" w:type="dxa"/>
              <w:left w:w="80" w:type="dxa"/>
              <w:right w:w="80" w:type="dxa"/>
            </w:tcMar>
          </w:tcPr>
          <w:p>
            <w:pPr>
              <w:jc w:val="center"/>
            </w:pPr>
            <w:r>
              <w:rPr>
                <w:color w:val="0F172A"/>
                <w:sz w:val="17"/>
              </w:rPr>
              <w:t>228</w:t>
            </w:r>
          </w:p>
        </w:tc>
        <w:tc>
          <w:tcPr>
            <w:tcW w:type="dxa" w:w="1152"/>
            <w:shd w:fill="F1F5F9"/>
            <w:tcMar>
              <w:top w:w="60" w:type="dxa"/>
              <w:bottom w:w="60" w:type="dxa"/>
              <w:left w:w="80" w:type="dxa"/>
              <w:right w:w="80" w:type="dxa"/>
            </w:tcMar>
          </w:tcPr>
          <w:p>
            <w:pPr>
              <w:jc w:val="center"/>
            </w:pPr>
            <w:r>
              <w:rPr>
                <w:color w:val="0F172A"/>
                <w:sz w:val="17"/>
              </w:rPr>
              <w:t>18.24%</w:t>
            </w:r>
          </w:p>
        </w:tc>
        <w:tc>
          <w:tcPr>
            <w:tcW w:type="dxa" w:w="1440"/>
            <w:shd w:fill="F1F5F9"/>
            <w:tcMar>
              <w:top w:w="60" w:type="dxa"/>
              <w:bottom w:w="60" w:type="dxa"/>
              <w:left w:w="80" w:type="dxa"/>
              <w:right w:w="80" w:type="dxa"/>
            </w:tcMar>
          </w:tcPr>
          <w:p>
            <w:pPr>
              <w:jc w:val="center"/>
            </w:pPr>
            <w:r>
              <w:rPr>
                <w:color w:val="0F172A"/>
                <w:sz w:val="17"/>
              </w:rPr>
              <w:t>$137,406.01</w:t>
            </w:r>
          </w:p>
        </w:tc>
        <w:tc>
          <w:tcPr>
            <w:tcW w:type="dxa" w:w="1584"/>
            <w:shd w:fill="F1F5F9"/>
            <w:tcMar>
              <w:top w:w="60" w:type="dxa"/>
              <w:bottom w:w="60" w:type="dxa"/>
              <w:left w:w="80" w:type="dxa"/>
              <w:right w:w="80" w:type="dxa"/>
            </w:tcMar>
          </w:tcPr>
          <w:p>
            <w:pPr>
              <w:jc w:val="center"/>
            </w:pPr>
            <w:r>
              <w:rPr>
                <w:color w:val="0F172A"/>
                <w:sz w:val="17"/>
              </w:rPr>
              <w:t>$18,866.49</w:t>
            </w:r>
          </w:p>
        </w:tc>
        <w:tc>
          <w:tcPr>
            <w:tcW w:type="dxa" w:w="1440"/>
            <w:shd w:fill="F1F5F9"/>
            <w:tcMar>
              <w:top w:w="60" w:type="dxa"/>
              <w:bottom w:w="60" w:type="dxa"/>
              <w:left w:w="80" w:type="dxa"/>
              <w:right w:w="80" w:type="dxa"/>
            </w:tcMar>
          </w:tcPr>
          <w:p>
            <w:pPr>
              <w:jc w:val="center"/>
            </w:pPr>
            <w:r>
              <w:rPr>
                <w:color w:val="0F172A"/>
                <w:sz w:val="17"/>
              </w:rPr>
              <w:t>5.06</w:t>
            </w:r>
          </w:p>
        </w:tc>
        <w:tc>
          <w:tcPr>
            <w:tcW w:type="dxa" w:w="1440"/>
            <w:shd w:fill="F1F5F9"/>
            <w:tcMar>
              <w:top w:w="60" w:type="dxa"/>
              <w:bottom w:w="60" w:type="dxa"/>
              <w:left w:w="80" w:type="dxa"/>
              <w:right w:w="80" w:type="dxa"/>
            </w:tcMar>
          </w:tcPr>
          <w:p>
            <w:pPr>
              <w:jc w:val="center"/>
            </w:pPr>
            <w:r>
              <w:rPr>
                <w:color w:val="0F172A"/>
                <w:sz w:val="17"/>
              </w:rPr>
              <w:t>68.86%</w:t>
            </w:r>
          </w:p>
        </w:tc>
        <w:tc>
          <w:tcPr>
            <w:tcW w:type="dxa" w:w="1296"/>
            <w:shd w:fill="F1F5F9"/>
            <w:tcMar>
              <w:top w:w="60" w:type="dxa"/>
              <w:bottom w:w="60" w:type="dxa"/>
              <w:left w:w="80" w:type="dxa"/>
              <w:right w:w="80" w:type="dxa"/>
            </w:tcMar>
          </w:tcPr>
          <w:p>
            <w:pPr>
              <w:jc w:val="center"/>
            </w:pPr>
            <w:r>
              <w:rPr>
                <w:color w:val="0F172A"/>
                <w:sz w:val="17"/>
              </w:rPr>
              <w:t>3.61</w:t>
            </w:r>
          </w:p>
        </w:tc>
      </w:tr>
      <w:tr>
        <w:tc>
          <w:tcPr>
            <w:tcW w:type="dxa" w:w="1440"/>
            <w:shd w:fill="FFFFFF"/>
            <w:tcMar>
              <w:top w:w="60" w:type="dxa"/>
              <w:bottom w:w="60" w:type="dxa"/>
              <w:left w:w="80" w:type="dxa"/>
              <w:right w:w="80" w:type="dxa"/>
            </w:tcMar>
          </w:tcPr>
          <w:p>
            <w:pPr>
              <w:jc w:val="left"/>
            </w:pPr>
            <w:r>
              <w:rPr>
                <w:color w:val="0F172A"/>
                <w:sz w:val="17"/>
              </w:rPr>
              <w:t>Central</w:t>
            </w:r>
          </w:p>
        </w:tc>
        <w:tc>
          <w:tcPr>
            <w:tcW w:type="dxa" w:w="1008"/>
            <w:shd w:fill="FFFFFF"/>
            <w:tcMar>
              <w:top w:w="60" w:type="dxa"/>
              <w:bottom w:w="60" w:type="dxa"/>
              <w:left w:w="80" w:type="dxa"/>
              <w:right w:w="80" w:type="dxa"/>
            </w:tcMar>
          </w:tcPr>
          <w:p>
            <w:pPr>
              <w:jc w:val="center"/>
            </w:pPr>
            <w:r>
              <w:rPr>
                <w:color w:val="0F172A"/>
                <w:sz w:val="17"/>
              </w:rPr>
              <w:t>172</w:t>
            </w:r>
          </w:p>
        </w:tc>
        <w:tc>
          <w:tcPr>
            <w:tcW w:type="dxa" w:w="1152"/>
            <w:shd w:fill="FFFFFF"/>
            <w:tcMar>
              <w:top w:w="60" w:type="dxa"/>
              <w:bottom w:w="60" w:type="dxa"/>
              <w:left w:w="80" w:type="dxa"/>
              <w:right w:w="80" w:type="dxa"/>
            </w:tcMar>
          </w:tcPr>
          <w:p>
            <w:pPr>
              <w:jc w:val="center"/>
            </w:pPr>
            <w:r>
              <w:rPr>
                <w:color w:val="0F172A"/>
                <w:sz w:val="17"/>
              </w:rPr>
              <w:t>13.76%</w:t>
            </w:r>
          </w:p>
        </w:tc>
        <w:tc>
          <w:tcPr>
            <w:tcW w:type="dxa" w:w="1440"/>
            <w:shd w:fill="FFFFFF"/>
            <w:tcMar>
              <w:top w:w="60" w:type="dxa"/>
              <w:bottom w:w="60" w:type="dxa"/>
              <w:left w:w="80" w:type="dxa"/>
              <w:right w:w="80" w:type="dxa"/>
            </w:tcMar>
          </w:tcPr>
          <w:p>
            <w:pPr>
              <w:jc w:val="center"/>
            </w:pPr>
            <w:r>
              <w:rPr>
                <w:color w:val="0F172A"/>
                <w:sz w:val="17"/>
              </w:rPr>
              <w:t>$95,518.87</w:t>
            </w:r>
          </w:p>
        </w:tc>
        <w:tc>
          <w:tcPr>
            <w:tcW w:type="dxa" w:w="1584"/>
            <w:shd w:fill="FFFFFF"/>
            <w:tcMar>
              <w:top w:w="60" w:type="dxa"/>
              <w:bottom w:w="60" w:type="dxa"/>
              <w:left w:w="80" w:type="dxa"/>
              <w:right w:w="80" w:type="dxa"/>
            </w:tcMar>
          </w:tcPr>
          <w:p>
            <w:pPr>
              <w:jc w:val="center"/>
            </w:pPr>
            <w:r>
              <w:rPr>
                <w:color w:val="0F172A"/>
                <w:sz w:val="17"/>
              </w:rPr>
              <w:t>$15,974.29</w:t>
            </w:r>
          </w:p>
        </w:tc>
        <w:tc>
          <w:tcPr>
            <w:tcW w:type="dxa" w:w="1440"/>
            <w:shd w:fill="FFFFFF"/>
            <w:tcMar>
              <w:top w:w="60" w:type="dxa"/>
              <w:bottom w:w="60" w:type="dxa"/>
              <w:left w:w="80" w:type="dxa"/>
              <w:right w:w="80" w:type="dxa"/>
            </w:tcMar>
          </w:tcPr>
          <w:p>
            <w:pPr>
              <w:jc w:val="center"/>
            </w:pPr>
            <w:r>
              <w:rPr>
                <w:color w:val="0F172A"/>
                <w:sz w:val="17"/>
              </w:rPr>
              <w:t>4.89</w:t>
            </w:r>
          </w:p>
        </w:tc>
        <w:tc>
          <w:tcPr>
            <w:tcW w:type="dxa" w:w="1440"/>
            <w:shd w:fill="FFFFFF"/>
            <w:tcMar>
              <w:top w:w="60" w:type="dxa"/>
              <w:bottom w:w="60" w:type="dxa"/>
              <w:left w:w="80" w:type="dxa"/>
              <w:right w:w="80" w:type="dxa"/>
            </w:tcMar>
          </w:tcPr>
          <w:p>
            <w:pPr>
              <w:jc w:val="center"/>
            </w:pPr>
            <w:r>
              <w:rPr>
                <w:color w:val="0F172A"/>
                <w:sz w:val="17"/>
              </w:rPr>
              <w:t>73.84%</w:t>
            </w:r>
          </w:p>
        </w:tc>
        <w:tc>
          <w:tcPr>
            <w:tcW w:type="dxa" w:w="1296"/>
            <w:shd w:fill="FFFFFF"/>
            <w:tcMar>
              <w:top w:w="60" w:type="dxa"/>
              <w:bottom w:w="60" w:type="dxa"/>
              <w:left w:w="80" w:type="dxa"/>
              <w:right w:w="80" w:type="dxa"/>
            </w:tcMar>
          </w:tcPr>
          <w:p>
            <w:pPr>
              <w:jc w:val="center"/>
            </w:pPr>
            <w:r>
              <w:rPr>
                <w:color w:val="0F172A"/>
                <w:sz w:val="17"/>
              </w:rPr>
              <w:t>3.59</w:t>
            </w:r>
          </w:p>
        </w:tc>
      </w:tr>
    </w:tbl>
    <w:p>
      <w:pPr>
        <w:spacing w:after="160"/>
      </w:pPr>
    </w:p>
    <w:p>
      <w:pPr>
        <w:pStyle w:val="Heading1"/>
        <w:keepNext/>
        <w:spacing w:before="360" w:after="120"/>
      </w:pPr>
      <w:r>
        <w:rPr>
          <w:rFonts w:ascii="Segoe UI Semibold" w:hAnsi="Segoe UI Semibold"/>
          <w:b/>
          <w:color w:val="1E3A8A"/>
          <w:sz w:val="32"/>
        </w:rPr>
        <w:t>15. Shipping Mode Analysis</w:t>
      </w:r>
    </w:p>
    <w:p>
      <w:pPr>
        <w:spacing w:after="120" w:line="276" w:lineRule="auto"/>
      </w:pPr>
      <w:r>
        <w:rPr>
          <w:rFonts w:ascii="Segoe UI" w:hAnsi="Segoe UI"/>
          <w:i w:val="0"/>
          <w:sz w:val="20"/>
        </w:rPr>
        <w:t>A comparative performance audit was conducted across the four shipping tiers to evaluate speed, SLA compliance, cost structure, and customer ratings.</w:t>
      </w:r>
    </w:p>
    <w:p>
      <w:pPr>
        <w:spacing w:before="160" w:after="60"/>
        <w:jc w:val="center"/>
      </w:pPr>
      <w:r>
        <w:drawing>
          <wp:inline xmlns:a="http://schemas.openxmlformats.org/drawingml/2006/main" xmlns:pic="http://schemas.openxmlformats.org/drawingml/2006/picture">
            <wp:extent cx="5303520" cy="3208820"/>
            <wp:docPr id="11" name="Picture 11"/>
            <wp:cNvGraphicFramePr>
              <a:graphicFrameLocks noChangeAspect="1"/>
            </wp:cNvGraphicFramePr>
            <a:graphic>
              <a:graphicData uri="http://schemas.openxmlformats.org/drawingml/2006/picture">
                <pic:pic>
                  <pic:nvPicPr>
                    <pic:cNvPr id="0" name="05_shipping_cost_by_mode.png"/>
                    <pic:cNvPicPr/>
                  </pic:nvPicPr>
                  <pic:blipFill>
                    <a:blip r:embed="rId21"/>
                    <a:stretch>
                      <a:fillRect/>
                    </a:stretch>
                  </pic:blipFill>
                  <pic:spPr>
                    <a:xfrm>
                      <a:off x="0" y="0"/>
                      <a:ext cx="5303520" cy="3208820"/>
                    </a:xfrm>
                    <a:prstGeom prst="rect"/>
                  </pic:spPr>
                </pic:pic>
              </a:graphicData>
            </a:graphic>
          </wp:inline>
        </w:drawing>
      </w:r>
    </w:p>
    <w:p>
      <w:pPr>
        <w:spacing w:after="240"/>
        <w:jc w:val="center"/>
      </w:pPr>
      <w:r>
        <w:rPr>
          <w:rFonts w:ascii="Segoe UI" w:hAnsi="Segoe UI"/>
          <w:i/>
          <w:color w:val="64748B"/>
          <w:sz w:val="17"/>
        </w:rPr>
        <w:t>Figure: Boxplot distribution of shipping expenditures across service tiers with median/mean overlays.</w:t>
      </w:r>
    </w:p>
    <w:p>
      <w:pPr>
        <w:spacing w:before="160" w:after="60"/>
        <w:jc w:val="center"/>
      </w:pPr>
      <w:r>
        <w:drawing>
          <wp:inline xmlns:a="http://schemas.openxmlformats.org/drawingml/2006/main" xmlns:pic="http://schemas.openxmlformats.org/drawingml/2006/picture">
            <wp:extent cx="5303520" cy="3237939"/>
            <wp:docPr id="12" name="Picture 12"/>
            <wp:cNvGraphicFramePr>
              <a:graphicFrameLocks noChangeAspect="1"/>
            </wp:cNvGraphicFramePr>
            <a:graphic>
              <a:graphicData uri="http://schemas.openxmlformats.org/drawingml/2006/picture">
                <pic:pic>
                  <pic:nvPicPr>
                    <pic:cNvPr id="0" name="06_delivery_time_by_mode.png"/>
                    <pic:cNvPicPr/>
                  </pic:nvPicPr>
                  <pic:blipFill>
                    <a:blip r:embed="rId22"/>
                    <a:stretch>
                      <a:fillRect/>
                    </a:stretch>
                  </pic:blipFill>
                  <pic:spPr>
                    <a:xfrm>
                      <a:off x="0" y="0"/>
                      <a:ext cx="5303520" cy="3237939"/>
                    </a:xfrm>
                    <a:prstGeom prst="rect"/>
                  </pic:spPr>
                </pic:pic>
              </a:graphicData>
            </a:graphic>
          </wp:inline>
        </w:drawing>
      </w:r>
    </w:p>
    <w:p>
      <w:pPr>
        <w:spacing w:after="240"/>
        <w:jc w:val="center"/>
      </w:pPr>
      <w:r>
        <w:rPr>
          <w:rFonts w:ascii="Segoe UI" w:hAnsi="Segoe UI"/>
          <w:i/>
          <w:color w:val="64748B"/>
          <w:sz w:val="17"/>
        </w:rPr>
        <w:t>Figure: Actual delivery time distributions vs contractual SLA benchmark diamonds by shipping mode.</w:t>
      </w:r>
    </w:p>
    <w:p>
      <w:pPr>
        <w:spacing w:before="160" w:after="60"/>
        <w:jc w:val="center"/>
      </w:pPr>
      <w:r>
        <w:drawing>
          <wp:inline xmlns:a="http://schemas.openxmlformats.org/drawingml/2006/main" xmlns:pic="http://schemas.openxmlformats.org/drawingml/2006/picture">
            <wp:extent cx="5303520" cy="3211131"/>
            <wp:docPr id="13" name="Picture 13"/>
            <wp:cNvGraphicFramePr>
              <a:graphicFrameLocks noChangeAspect="1"/>
            </wp:cNvGraphicFramePr>
            <a:graphic>
              <a:graphicData uri="http://schemas.openxmlformats.org/drawingml/2006/picture">
                <pic:pic>
                  <pic:nvPicPr>
                    <pic:cNvPr id="0" name="13_delivery_status_delay_rate_by_mode.png"/>
                    <pic:cNvPicPr/>
                  </pic:nvPicPr>
                  <pic:blipFill>
                    <a:blip r:embed="rId23"/>
                    <a:stretch>
                      <a:fillRect/>
                    </a:stretch>
                  </pic:blipFill>
                  <pic:spPr>
                    <a:xfrm>
                      <a:off x="0" y="0"/>
                      <a:ext cx="5303520" cy="3211131"/>
                    </a:xfrm>
                    <a:prstGeom prst="rect"/>
                  </pic:spPr>
                </pic:pic>
              </a:graphicData>
            </a:graphic>
          </wp:inline>
        </w:drawing>
      </w:r>
    </w:p>
    <w:p>
      <w:pPr>
        <w:spacing w:after="240"/>
        <w:jc w:val="center"/>
      </w:pPr>
      <w:r>
        <w:rPr>
          <w:rFonts w:ascii="Segoe UI" w:hAnsi="Segoe UI"/>
          <w:i/>
          <w:color w:val="64748B"/>
          <w:sz w:val="17"/>
        </w:rPr>
        <w:t>Figure: Proportional distribution of on-time vs delayed fulfillment across shipping service levels.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fill="1E3A8A"/>
            <w:tcMar>
              <w:top w:w="80" w:type="dxa"/>
              <w:bottom w:w="80" w:type="dxa"/>
              <w:left w:w="90" w:type="dxa"/>
              <w:right w:w="90" w:type="dxa"/>
            </w:tcMar>
          </w:tcPr>
          <w:p>
            <w:pPr>
              <w:jc w:val="center"/>
            </w:pPr>
            <w:r>
              <w:rPr>
                <w:b/>
                <w:color w:val="FFFFFF"/>
                <w:sz w:val="18"/>
              </w:rPr>
              <w:t>Shipping Mode</w:t>
            </w:r>
          </w:p>
        </w:tc>
        <w:tc>
          <w:tcPr>
            <w:tcW w:type="dxa" w:w="1008"/>
            <w:shd w:fill="1E3A8A"/>
            <w:tcMar>
              <w:top w:w="80" w:type="dxa"/>
              <w:bottom w:w="80" w:type="dxa"/>
              <w:left w:w="90" w:type="dxa"/>
              <w:right w:w="90" w:type="dxa"/>
            </w:tcMar>
          </w:tcPr>
          <w:p>
            <w:pPr>
              <w:jc w:val="center"/>
            </w:pPr>
            <w:r>
              <w:rPr>
                <w:b/>
                <w:color w:val="FFFFFF"/>
                <w:sz w:val="18"/>
              </w:rPr>
              <w:t>Orders</w:t>
            </w:r>
          </w:p>
        </w:tc>
        <w:tc>
          <w:tcPr>
            <w:tcW w:type="dxa" w:w="1152"/>
            <w:shd w:fill="1E3A8A"/>
            <w:tcMar>
              <w:top w:w="80" w:type="dxa"/>
              <w:bottom w:w="80" w:type="dxa"/>
              <w:left w:w="90" w:type="dxa"/>
              <w:right w:w="90" w:type="dxa"/>
            </w:tcMar>
          </w:tcPr>
          <w:p>
            <w:pPr>
              <w:jc w:val="center"/>
            </w:pPr>
            <w:r>
              <w:rPr>
                <w:b/>
                <w:color w:val="FFFFFF"/>
                <w:sz w:val="18"/>
              </w:rPr>
              <w:t>Share (%)</w:t>
            </w:r>
          </w:p>
        </w:tc>
        <w:tc>
          <w:tcPr>
            <w:tcW w:type="dxa" w:w="1296"/>
            <w:shd w:fill="1E3A8A"/>
            <w:tcMar>
              <w:top w:w="80" w:type="dxa"/>
              <w:bottom w:w="80" w:type="dxa"/>
              <w:left w:w="90" w:type="dxa"/>
              <w:right w:w="90" w:type="dxa"/>
            </w:tcMar>
          </w:tcPr>
          <w:p>
            <w:pPr>
              <w:jc w:val="center"/>
            </w:pPr>
            <w:r>
              <w:rPr>
                <w:b/>
                <w:color w:val="FFFFFF"/>
                <w:sz w:val="18"/>
              </w:rPr>
              <w:t>SLA Target</w:t>
            </w:r>
          </w:p>
        </w:tc>
        <w:tc>
          <w:tcPr>
            <w:tcW w:type="dxa" w:w="1296"/>
            <w:shd w:fill="1E3A8A"/>
            <w:tcMar>
              <w:top w:w="80" w:type="dxa"/>
              <w:bottom w:w="80" w:type="dxa"/>
              <w:left w:w="90" w:type="dxa"/>
              <w:right w:w="90" w:type="dxa"/>
            </w:tcMar>
          </w:tcPr>
          <w:p>
            <w:pPr>
              <w:jc w:val="center"/>
            </w:pPr>
            <w:r>
              <w:rPr>
                <w:b/>
                <w:color w:val="FFFFFF"/>
                <w:sz w:val="18"/>
              </w:rPr>
              <w:t>Actual Avg (d)</w:t>
            </w:r>
          </w:p>
        </w:tc>
        <w:tc>
          <w:tcPr>
            <w:tcW w:type="dxa" w:w="1296"/>
            <w:shd w:fill="1E3A8A"/>
            <w:tcMar>
              <w:top w:w="80" w:type="dxa"/>
              <w:bottom w:w="80" w:type="dxa"/>
              <w:left w:w="90" w:type="dxa"/>
              <w:right w:w="90" w:type="dxa"/>
            </w:tcMar>
          </w:tcPr>
          <w:p>
            <w:pPr>
              <w:jc w:val="center"/>
            </w:pPr>
            <w:r>
              <w:rPr>
                <w:b/>
                <w:color w:val="FFFFFF"/>
                <w:sz w:val="18"/>
              </w:rPr>
              <w:t>Avg Spend ($)</w:t>
            </w:r>
          </w:p>
        </w:tc>
        <w:tc>
          <w:tcPr>
            <w:tcW w:type="dxa" w:w="1296"/>
            <w:shd w:fill="1E3A8A"/>
            <w:tcMar>
              <w:top w:w="80" w:type="dxa"/>
              <w:bottom w:w="80" w:type="dxa"/>
              <w:left w:w="90" w:type="dxa"/>
              <w:right w:w="90" w:type="dxa"/>
            </w:tcMar>
          </w:tcPr>
          <w:p>
            <w:pPr>
              <w:jc w:val="center"/>
            </w:pPr>
            <w:r>
              <w:rPr>
                <w:b/>
                <w:color w:val="FFFFFF"/>
                <w:sz w:val="18"/>
              </w:rPr>
              <w:t>Delay Rate (%)</w:t>
            </w:r>
          </w:p>
        </w:tc>
        <w:tc>
          <w:tcPr>
            <w:tcW w:type="dxa" w:w="1008"/>
            <w:shd w:fill="1E3A8A"/>
            <w:tcMar>
              <w:top w:w="80" w:type="dxa"/>
              <w:bottom w:w="80" w:type="dxa"/>
              <w:left w:w="90" w:type="dxa"/>
              <w:right w:w="90" w:type="dxa"/>
            </w:tcMar>
          </w:tcPr>
          <w:p>
            <w:pPr>
              <w:jc w:val="center"/>
            </w:pPr>
            <w:r>
              <w:rPr>
                <w:b/>
                <w:color w:val="FFFFFF"/>
                <w:sz w:val="18"/>
              </w:rPr>
              <w:t>Rating</w:t>
            </w:r>
          </w:p>
        </w:tc>
      </w:tr>
      <w:tr>
        <w:tc>
          <w:tcPr>
            <w:tcW w:type="dxa" w:w="2016"/>
            <w:shd w:fill="FFFFFF"/>
            <w:tcMar>
              <w:top w:w="60" w:type="dxa"/>
              <w:bottom w:w="60" w:type="dxa"/>
              <w:left w:w="80" w:type="dxa"/>
              <w:right w:w="80" w:type="dxa"/>
            </w:tcMar>
          </w:tcPr>
          <w:p>
            <w:pPr>
              <w:jc w:val="left"/>
            </w:pPr>
            <w:r>
              <w:rPr>
                <w:color w:val="0F172A"/>
                <w:sz w:val="17"/>
              </w:rPr>
              <w:t>Same-Day Courier</w:t>
            </w:r>
          </w:p>
        </w:tc>
        <w:tc>
          <w:tcPr>
            <w:tcW w:type="dxa" w:w="1008"/>
            <w:shd w:fill="FFFFFF"/>
            <w:tcMar>
              <w:top w:w="60" w:type="dxa"/>
              <w:bottom w:w="60" w:type="dxa"/>
              <w:left w:w="80" w:type="dxa"/>
              <w:right w:w="80" w:type="dxa"/>
            </w:tcMar>
          </w:tcPr>
          <w:p>
            <w:pPr>
              <w:jc w:val="center"/>
            </w:pPr>
            <w:r>
              <w:rPr>
                <w:color w:val="0F172A"/>
                <w:sz w:val="17"/>
              </w:rPr>
              <w:t>126</w:t>
            </w:r>
          </w:p>
        </w:tc>
        <w:tc>
          <w:tcPr>
            <w:tcW w:type="dxa" w:w="1152"/>
            <w:shd w:fill="FFFFFF"/>
            <w:tcMar>
              <w:top w:w="60" w:type="dxa"/>
              <w:bottom w:w="60" w:type="dxa"/>
              <w:left w:w="80" w:type="dxa"/>
              <w:right w:w="80" w:type="dxa"/>
            </w:tcMar>
          </w:tcPr>
          <w:p>
            <w:pPr>
              <w:jc w:val="center"/>
            </w:pPr>
            <w:r>
              <w:rPr>
                <w:color w:val="0F172A"/>
                <w:sz w:val="17"/>
              </w:rPr>
              <w:t>10.08%</w:t>
            </w:r>
          </w:p>
        </w:tc>
        <w:tc>
          <w:tcPr>
            <w:tcW w:type="dxa" w:w="1296"/>
            <w:shd w:fill="FFFFFF"/>
            <w:tcMar>
              <w:top w:w="60" w:type="dxa"/>
              <w:bottom w:w="60" w:type="dxa"/>
              <w:left w:w="80" w:type="dxa"/>
              <w:right w:w="80" w:type="dxa"/>
            </w:tcMar>
          </w:tcPr>
          <w:p>
            <w:pPr>
              <w:jc w:val="center"/>
            </w:pPr>
            <w:r>
              <w:rPr>
                <w:color w:val="0F172A"/>
                <w:sz w:val="17"/>
              </w:rPr>
              <w:t>1.0 Day</w:t>
            </w:r>
          </w:p>
        </w:tc>
        <w:tc>
          <w:tcPr>
            <w:tcW w:type="dxa" w:w="1296"/>
            <w:shd w:fill="FFFFFF"/>
            <w:tcMar>
              <w:top w:w="60" w:type="dxa"/>
              <w:bottom w:w="60" w:type="dxa"/>
              <w:left w:w="80" w:type="dxa"/>
              <w:right w:w="80" w:type="dxa"/>
            </w:tcMar>
          </w:tcPr>
          <w:p>
            <w:pPr>
              <w:jc w:val="center"/>
            </w:pPr>
            <w:r>
              <w:rPr>
                <w:color w:val="0F172A"/>
                <w:sz w:val="17"/>
              </w:rPr>
              <w:t>2.21</w:t>
            </w:r>
          </w:p>
        </w:tc>
        <w:tc>
          <w:tcPr>
            <w:tcW w:type="dxa" w:w="1296"/>
            <w:shd w:fill="FFFFFF"/>
            <w:tcMar>
              <w:top w:w="60" w:type="dxa"/>
              <w:bottom w:w="60" w:type="dxa"/>
              <w:left w:w="80" w:type="dxa"/>
              <w:right w:w="80" w:type="dxa"/>
            </w:tcMar>
          </w:tcPr>
          <w:p>
            <w:pPr>
              <w:jc w:val="center"/>
            </w:pPr>
            <w:r>
              <w:rPr>
                <w:color w:val="0F172A"/>
                <w:sz w:val="17"/>
              </w:rPr>
              <w:t>$172.50</w:t>
            </w:r>
          </w:p>
        </w:tc>
        <w:tc>
          <w:tcPr>
            <w:tcW w:type="dxa" w:w="1296"/>
            <w:shd w:fill="FFFFFF"/>
            <w:tcMar>
              <w:top w:w="60" w:type="dxa"/>
              <w:bottom w:w="60" w:type="dxa"/>
              <w:left w:w="80" w:type="dxa"/>
              <w:right w:w="80" w:type="dxa"/>
            </w:tcMar>
          </w:tcPr>
          <w:p>
            <w:pPr>
              <w:jc w:val="center"/>
            </w:pPr>
            <w:r>
              <w:rPr>
                <w:color w:val="0F172A"/>
                <w:sz w:val="17"/>
              </w:rPr>
              <w:t>76.19%</w:t>
            </w:r>
          </w:p>
        </w:tc>
        <w:tc>
          <w:tcPr>
            <w:tcW w:type="dxa" w:w="1008"/>
            <w:shd w:fill="FFFFFF"/>
            <w:tcMar>
              <w:top w:w="60" w:type="dxa"/>
              <w:bottom w:w="60" w:type="dxa"/>
              <w:left w:w="80" w:type="dxa"/>
              <w:right w:w="80" w:type="dxa"/>
            </w:tcMar>
          </w:tcPr>
          <w:p>
            <w:pPr>
              <w:jc w:val="center"/>
            </w:pPr>
            <w:r>
              <w:rPr>
                <w:color w:val="0F172A"/>
                <w:sz w:val="17"/>
              </w:rPr>
              <w:t>3.57</w:t>
            </w:r>
          </w:p>
        </w:tc>
      </w:tr>
      <w:tr>
        <w:tc>
          <w:tcPr>
            <w:tcW w:type="dxa" w:w="2016"/>
            <w:shd w:fill="F1F5F9"/>
            <w:tcMar>
              <w:top w:w="60" w:type="dxa"/>
              <w:bottom w:w="60" w:type="dxa"/>
              <w:left w:w="80" w:type="dxa"/>
              <w:right w:w="80" w:type="dxa"/>
            </w:tcMar>
          </w:tcPr>
          <w:p>
            <w:pPr>
              <w:jc w:val="left"/>
            </w:pPr>
            <w:r>
              <w:rPr>
                <w:color w:val="0F172A"/>
                <w:sz w:val="17"/>
              </w:rPr>
              <w:t>Express Air</w:t>
            </w:r>
          </w:p>
        </w:tc>
        <w:tc>
          <w:tcPr>
            <w:tcW w:type="dxa" w:w="1008"/>
            <w:shd w:fill="F1F5F9"/>
            <w:tcMar>
              <w:top w:w="60" w:type="dxa"/>
              <w:bottom w:w="60" w:type="dxa"/>
              <w:left w:w="80" w:type="dxa"/>
              <w:right w:w="80" w:type="dxa"/>
            </w:tcMar>
          </w:tcPr>
          <w:p>
            <w:pPr>
              <w:jc w:val="center"/>
            </w:pPr>
            <w:r>
              <w:rPr>
                <w:color w:val="0F172A"/>
                <w:sz w:val="17"/>
              </w:rPr>
              <w:t>296</w:t>
            </w:r>
          </w:p>
        </w:tc>
        <w:tc>
          <w:tcPr>
            <w:tcW w:type="dxa" w:w="1152"/>
            <w:shd w:fill="F1F5F9"/>
            <w:tcMar>
              <w:top w:w="60" w:type="dxa"/>
              <w:bottom w:w="60" w:type="dxa"/>
              <w:left w:w="80" w:type="dxa"/>
              <w:right w:w="80" w:type="dxa"/>
            </w:tcMar>
          </w:tcPr>
          <w:p>
            <w:pPr>
              <w:jc w:val="center"/>
            </w:pPr>
            <w:r>
              <w:rPr>
                <w:color w:val="0F172A"/>
                <w:sz w:val="17"/>
              </w:rPr>
              <w:t>23.68%</w:t>
            </w:r>
          </w:p>
        </w:tc>
        <w:tc>
          <w:tcPr>
            <w:tcW w:type="dxa" w:w="1296"/>
            <w:shd w:fill="F1F5F9"/>
            <w:tcMar>
              <w:top w:w="60" w:type="dxa"/>
              <w:bottom w:w="60" w:type="dxa"/>
              <w:left w:w="80" w:type="dxa"/>
              <w:right w:w="80" w:type="dxa"/>
            </w:tcMar>
          </w:tcPr>
          <w:p>
            <w:pPr>
              <w:jc w:val="center"/>
            </w:pPr>
            <w:r>
              <w:rPr>
                <w:color w:val="0F172A"/>
                <w:sz w:val="17"/>
              </w:rPr>
              <w:t>2.0 Days</w:t>
            </w:r>
          </w:p>
        </w:tc>
        <w:tc>
          <w:tcPr>
            <w:tcW w:type="dxa" w:w="1296"/>
            <w:shd w:fill="F1F5F9"/>
            <w:tcMar>
              <w:top w:w="60" w:type="dxa"/>
              <w:bottom w:w="60" w:type="dxa"/>
              <w:left w:w="80" w:type="dxa"/>
              <w:right w:w="80" w:type="dxa"/>
            </w:tcMar>
          </w:tcPr>
          <w:p>
            <w:pPr>
              <w:jc w:val="center"/>
            </w:pPr>
            <w:r>
              <w:rPr>
                <w:color w:val="0F172A"/>
                <w:sz w:val="17"/>
              </w:rPr>
              <w:t>2.94</w:t>
            </w:r>
          </w:p>
        </w:tc>
        <w:tc>
          <w:tcPr>
            <w:tcW w:type="dxa" w:w="1296"/>
            <w:shd w:fill="F1F5F9"/>
            <w:tcMar>
              <w:top w:w="60" w:type="dxa"/>
              <w:bottom w:w="60" w:type="dxa"/>
              <w:left w:w="80" w:type="dxa"/>
              <w:right w:w="80" w:type="dxa"/>
            </w:tcMar>
          </w:tcPr>
          <w:p>
            <w:pPr>
              <w:jc w:val="center"/>
            </w:pPr>
            <w:r>
              <w:rPr>
                <w:color w:val="0F172A"/>
                <w:sz w:val="17"/>
              </w:rPr>
              <w:t>$138.55</w:t>
            </w:r>
          </w:p>
        </w:tc>
        <w:tc>
          <w:tcPr>
            <w:tcW w:type="dxa" w:w="1296"/>
            <w:shd w:fill="F1F5F9"/>
            <w:tcMar>
              <w:top w:w="60" w:type="dxa"/>
              <w:bottom w:w="60" w:type="dxa"/>
              <w:left w:w="80" w:type="dxa"/>
              <w:right w:w="80" w:type="dxa"/>
            </w:tcMar>
          </w:tcPr>
          <w:p>
            <w:pPr>
              <w:jc w:val="center"/>
            </w:pPr>
            <w:r>
              <w:rPr>
                <w:color w:val="0F172A"/>
                <w:sz w:val="17"/>
              </w:rPr>
              <w:t>72.97%</w:t>
            </w:r>
          </w:p>
        </w:tc>
        <w:tc>
          <w:tcPr>
            <w:tcW w:type="dxa" w:w="1008"/>
            <w:shd w:fill="F1F5F9"/>
            <w:tcMar>
              <w:top w:w="60" w:type="dxa"/>
              <w:bottom w:w="60" w:type="dxa"/>
              <w:left w:w="80" w:type="dxa"/>
              <w:right w:w="80" w:type="dxa"/>
            </w:tcMar>
          </w:tcPr>
          <w:p>
            <w:pPr>
              <w:jc w:val="center"/>
            </w:pPr>
            <w:r>
              <w:rPr>
                <w:color w:val="0F172A"/>
                <w:sz w:val="17"/>
              </w:rPr>
              <w:t>3.67</w:t>
            </w:r>
          </w:p>
        </w:tc>
      </w:tr>
      <w:tr>
        <w:tc>
          <w:tcPr>
            <w:tcW w:type="dxa" w:w="2016"/>
            <w:shd w:fill="FFFFFF"/>
            <w:tcMar>
              <w:top w:w="60" w:type="dxa"/>
              <w:bottom w:w="60" w:type="dxa"/>
              <w:left w:w="80" w:type="dxa"/>
              <w:right w:w="80" w:type="dxa"/>
            </w:tcMar>
          </w:tcPr>
          <w:p>
            <w:pPr>
              <w:jc w:val="left"/>
            </w:pPr>
            <w:r>
              <w:rPr>
                <w:color w:val="0F172A"/>
                <w:sz w:val="17"/>
              </w:rPr>
              <w:t>Standard Delivery</w:t>
            </w:r>
          </w:p>
        </w:tc>
        <w:tc>
          <w:tcPr>
            <w:tcW w:type="dxa" w:w="1008"/>
            <w:shd w:fill="FFFFFF"/>
            <w:tcMar>
              <w:top w:w="60" w:type="dxa"/>
              <w:bottom w:w="60" w:type="dxa"/>
              <w:left w:w="80" w:type="dxa"/>
              <w:right w:w="80" w:type="dxa"/>
            </w:tcMar>
          </w:tcPr>
          <w:p>
            <w:pPr>
              <w:jc w:val="center"/>
            </w:pPr>
            <w:r>
              <w:rPr>
                <w:color w:val="0F172A"/>
                <w:sz w:val="17"/>
              </w:rPr>
              <w:t>656</w:t>
            </w:r>
          </w:p>
        </w:tc>
        <w:tc>
          <w:tcPr>
            <w:tcW w:type="dxa" w:w="1152"/>
            <w:shd w:fill="FFFFFF"/>
            <w:tcMar>
              <w:top w:w="60" w:type="dxa"/>
              <w:bottom w:w="60" w:type="dxa"/>
              <w:left w:w="80" w:type="dxa"/>
              <w:right w:w="80" w:type="dxa"/>
            </w:tcMar>
          </w:tcPr>
          <w:p>
            <w:pPr>
              <w:jc w:val="center"/>
            </w:pPr>
            <w:r>
              <w:rPr>
                <w:color w:val="0F172A"/>
                <w:sz w:val="17"/>
              </w:rPr>
              <w:t>52.48%</w:t>
            </w:r>
          </w:p>
        </w:tc>
        <w:tc>
          <w:tcPr>
            <w:tcW w:type="dxa" w:w="1296"/>
            <w:shd w:fill="FFFFFF"/>
            <w:tcMar>
              <w:top w:w="60" w:type="dxa"/>
              <w:bottom w:w="60" w:type="dxa"/>
              <w:left w:w="80" w:type="dxa"/>
              <w:right w:w="80" w:type="dxa"/>
            </w:tcMar>
          </w:tcPr>
          <w:p>
            <w:pPr>
              <w:jc w:val="center"/>
            </w:pPr>
            <w:r>
              <w:rPr>
                <w:color w:val="0F172A"/>
                <w:sz w:val="17"/>
              </w:rPr>
              <w:t>5.0 Days</w:t>
            </w:r>
          </w:p>
        </w:tc>
        <w:tc>
          <w:tcPr>
            <w:tcW w:type="dxa" w:w="1296"/>
            <w:shd w:fill="FFFFFF"/>
            <w:tcMar>
              <w:top w:w="60" w:type="dxa"/>
              <w:bottom w:w="60" w:type="dxa"/>
              <w:left w:w="80" w:type="dxa"/>
              <w:right w:w="80" w:type="dxa"/>
            </w:tcMar>
          </w:tcPr>
          <w:p>
            <w:pPr>
              <w:jc w:val="center"/>
            </w:pPr>
            <w:r>
              <w:rPr>
                <w:color w:val="0F172A"/>
                <w:sz w:val="17"/>
              </w:rPr>
              <w:t>5.76</w:t>
            </w:r>
          </w:p>
        </w:tc>
        <w:tc>
          <w:tcPr>
            <w:tcW w:type="dxa" w:w="1296"/>
            <w:shd w:fill="FFFFFF"/>
            <w:tcMar>
              <w:top w:w="60" w:type="dxa"/>
              <w:bottom w:w="60" w:type="dxa"/>
              <w:left w:w="80" w:type="dxa"/>
              <w:right w:w="80" w:type="dxa"/>
            </w:tcMar>
          </w:tcPr>
          <w:p>
            <w:pPr>
              <w:jc w:val="center"/>
            </w:pPr>
            <w:r>
              <w:rPr>
                <w:color w:val="0F172A"/>
                <w:sz w:val="17"/>
              </w:rPr>
              <w:t>$58.39</w:t>
            </w:r>
          </w:p>
        </w:tc>
        <w:tc>
          <w:tcPr>
            <w:tcW w:type="dxa" w:w="1296"/>
            <w:shd w:fill="FFFFFF"/>
            <w:tcMar>
              <w:top w:w="60" w:type="dxa"/>
              <w:bottom w:w="60" w:type="dxa"/>
              <w:left w:w="80" w:type="dxa"/>
              <w:right w:w="80" w:type="dxa"/>
            </w:tcMar>
          </w:tcPr>
          <w:p>
            <w:pPr>
              <w:jc w:val="center"/>
            </w:pPr>
            <w:r>
              <w:rPr>
                <w:color w:val="0F172A"/>
                <w:sz w:val="17"/>
              </w:rPr>
              <w:t>71.49%</w:t>
            </w:r>
          </w:p>
        </w:tc>
        <w:tc>
          <w:tcPr>
            <w:tcW w:type="dxa" w:w="1008"/>
            <w:shd w:fill="FFFFFF"/>
            <w:tcMar>
              <w:top w:w="60" w:type="dxa"/>
              <w:bottom w:w="60" w:type="dxa"/>
              <w:left w:w="80" w:type="dxa"/>
              <w:right w:w="80" w:type="dxa"/>
            </w:tcMar>
          </w:tcPr>
          <w:p>
            <w:pPr>
              <w:jc w:val="center"/>
            </w:pPr>
            <w:r>
              <w:rPr>
                <w:color w:val="0F172A"/>
                <w:sz w:val="17"/>
              </w:rPr>
              <w:t>3.60</w:t>
            </w:r>
          </w:p>
        </w:tc>
      </w:tr>
      <w:tr>
        <w:tc>
          <w:tcPr>
            <w:tcW w:type="dxa" w:w="2016"/>
            <w:shd w:fill="F1F5F9"/>
            <w:tcMar>
              <w:top w:w="60" w:type="dxa"/>
              <w:bottom w:w="60" w:type="dxa"/>
              <w:left w:w="80" w:type="dxa"/>
              <w:right w:w="80" w:type="dxa"/>
            </w:tcMar>
          </w:tcPr>
          <w:p>
            <w:pPr>
              <w:jc w:val="left"/>
            </w:pPr>
            <w:r>
              <w:rPr>
                <w:color w:val="0F172A"/>
                <w:sz w:val="17"/>
              </w:rPr>
              <w:t>Ground Freight</w:t>
            </w:r>
          </w:p>
        </w:tc>
        <w:tc>
          <w:tcPr>
            <w:tcW w:type="dxa" w:w="1008"/>
            <w:shd w:fill="F1F5F9"/>
            <w:tcMar>
              <w:top w:w="60" w:type="dxa"/>
              <w:bottom w:w="60" w:type="dxa"/>
              <w:left w:w="80" w:type="dxa"/>
              <w:right w:w="80" w:type="dxa"/>
            </w:tcMar>
          </w:tcPr>
          <w:p>
            <w:pPr>
              <w:jc w:val="center"/>
            </w:pPr>
            <w:r>
              <w:rPr>
                <w:color w:val="0F172A"/>
                <w:sz w:val="17"/>
              </w:rPr>
              <w:t>172</w:t>
            </w:r>
          </w:p>
        </w:tc>
        <w:tc>
          <w:tcPr>
            <w:tcW w:type="dxa" w:w="1152"/>
            <w:shd w:fill="F1F5F9"/>
            <w:tcMar>
              <w:top w:w="60" w:type="dxa"/>
              <w:bottom w:w="60" w:type="dxa"/>
              <w:left w:w="80" w:type="dxa"/>
              <w:right w:w="80" w:type="dxa"/>
            </w:tcMar>
          </w:tcPr>
          <w:p>
            <w:pPr>
              <w:jc w:val="center"/>
            </w:pPr>
            <w:r>
              <w:rPr>
                <w:color w:val="0F172A"/>
                <w:sz w:val="17"/>
              </w:rPr>
              <w:t>13.76%</w:t>
            </w:r>
          </w:p>
        </w:tc>
        <w:tc>
          <w:tcPr>
            <w:tcW w:type="dxa" w:w="1296"/>
            <w:shd w:fill="F1F5F9"/>
            <w:tcMar>
              <w:top w:w="60" w:type="dxa"/>
              <w:bottom w:w="60" w:type="dxa"/>
              <w:left w:w="80" w:type="dxa"/>
              <w:right w:w="80" w:type="dxa"/>
            </w:tcMar>
          </w:tcPr>
          <w:p>
            <w:pPr>
              <w:jc w:val="center"/>
            </w:pPr>
            <w:r>
              <w:rPr>
                <w:color w:val="0F172A"/>
                <w:sz w:val="17"/>
              </w:rPr>
              <w:t>7.0 Days</w:t>
            </w:r>
          </w:p>
        </w:tc>
        <w:tc>
          <w:tcPr>
            <w:tcW w:type="dxa" w:w="1296"/>
            <w:shd w:fill="F1F5F9"/>
            <w:tcMar>
              <w:top w:w="60" w:type="dxa"/>
              <w:bottom w:w="60" w:type="dxa"/>
              <w:left w:w="80" w:type="dxa"/>
              <w:right w:w="80" w:type="dxa"/>
            </w:tcMar>
          </w:tcPr>
          <w:p>
            <w:pPr>
              <w:jc w:val="center"/>
            </w:pPr>
            <w:r>
              <w:rPr>
                <w:color w:val="0F172A"/>
                <w:sz w:val="17"/>
              </w:rPr>
              <w:t>7.71</w:t>
            </w:r>
          </w:p>
        </w:tc>
        <w:tc>
          <w:tcPr>
            <w:tcW w:type="dxa" w:w="1296"/>
            <w:shd w:fill="F1F5F9"/>
            <w:tcMar>
              <w:top w:w="60" w:type="dxa"/>
              <w:bottom w:w="60" w:type="dxa"/>
              <w:left w:w="80" w:type="dxa"/>
              <w:right w:w="80" w:type="dxa"/>
            </w:tcMar>
          </w:tcPr>
          <w:p>
            <w:pPr>
              <w:jc w:val="center"/>
            </w:pPr>
            <w:r>
              <w:rPr>
                <w:color w:val="0F172A"/>
                <w:sz w:val="17"/>
              </w:rPr>
              <w:t>$79.99</w:t>
            </w:r>
          </w:p>
        </w:tc>
        <w:tc>
          <w:tcPr>
            <w:tcW w:type="dxa" w:w="1296"/>
            <w:shd w:fill="F1F5F9"/>
            <w:tcMar>
              <w:top w:w="60" w:type="dxa"/>
              <w:bottom w:w="60" w:type="dxa"/>
              <w:left w:w="80" w:type="dxa"/>
              <w:right w:w="80" w:type="dxa"/>
            </w:tcMar>
          </w:tcPr>
          <w:p>
            <w:pPr>
              <w:jc w:val="center"/>
            </w:pPr>
            <w:r>
              <w:rPr>
                <w:color w:val="0F172A"/>
                <w:sz w:val="17"/>
              </w:rPr>
              <w:t>67.44%</w:t>
            </w:r>
          </w:p>
        </w:tc>
        <w:tc>
          <w:tcPr>
            <w:tcW w:type="dxa" w:w="1008"/>
            <w:shd w:fill="F1F5F9"/>
            <w:tcMar>
              <w:top w:w="60" w:type="dxa"/>
              <w:bottom w:w="60" w:type="dxa"/>
              <w:left w:w="80" w:type="dxa"/>
              <w:right w:w="80" w:type="dxa"/>
            </w:tcMar>
          </w:tcPr>
          <w:p>
            <w:pPr>
              <w:jc w:val="center"/>
            </w:pPr>
            <w:r>
              <w:rPr>
                <w:color w:val="0F172A"/>
                <w:sz w:val="17"/>
              </w:rPr>
              <w:t>3.71</w:t>
            </w:r>
          </w:p>
        </w:tc>
      </w:tr>
    </w:tbl>
    <w:p>
      <w:pPr>
        <w:spacing w:after="160"/>
      </w:pPr>
    </w:p>
    <w:p>
      <w:pPr>
        <w:pStyle w:val="Heading1"/>
        <w:keepNext/>
        <w:spacing w:before="360" w:after="120"/>
      </w:pPr>
      <w:r>
        <w:rPr>
          <w:rFonts w:ascii="Segoe UI Semibold" w:hAnsi="Segoe UI Semibold"/>
          <w:b/>
          <w:color w:val="1E3A8A"/>
          <w:sz w:val="32"/>
        </w:rPr>
        <w:t>16. Product / Category Analysis</w:t>
      </w:r>
    </w:p>
    <w:p>
      <w:pPr>
        <w:spacing w:after="120" w:line="276" w:lineRule="auto"/>
      </w:pPr>
      <w:r>
        <w:rPr>
          <w:rFonts w:ascii="Segoe UI" w:hAnsi="Segoe UI"/>
          <w:i w:val="0"/>
          <w:sz w:val="20"/>
        </w:rPr>
        <w:t>Inventory classifications were examined to quantify logistical handling burdens, freight cost ratios, and commercial revenue generation.</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fill="1E3A8A"/>
            <w:tcMar>
              <w:top w:w="80" w:type="dxa"/>
              <w:bottom w:w="80" w:type="dxa"/>
              <w:left w:w="90" w:type="dxa"/>
              <w:right w:w="90" w:type="dxa"/>
            </w:tcMar>
          </w:tcPr>
          <w:p>
            <w:pPr>
              <w:jc w:val="center"/>
            </w:pPr>
            <w:r>
              <w:rPr>
                <w:b/>
                <w:color w:val="FFFFFF"/>
                <w:sz w:val="18"/>
              </w:rPr>
              <w:t>Product Category</w:t>
            </w:r>
          </w:p>
        </w:tc>
        <w:tc>
          <w:tcPr>
            <w:tcW w:type="dxa" w:w="864"/>
            <w:shd w:fill="1E3A8A"/>
            <w:tcMar>
              <w:top w:w="80" w:type="dxa"/>
              <w:bottom w:w="80" w:type="dxa"/>
              <w:left w:w="90" w:type="dxa"/>
              <w:right w:w="90" w:type="dxa"/>
            </w:tcMar>
          </w:tcPr>
          <w:p>
            <w:pPr>
              <w:jc w:val="center"/>
            </w:pPr>
            <w:r>
              <w:rPr>
                <w:b/>
                <w:color w:val="FFFFFF"/>
                <w:sz w:val="18"/>
              </w:rPr>
              <w:t>Orders</w:t>
            </w:r>
          </w:p>
        </w:tc>
        <w:tc>
          <w:tcPr>
            <w:tcW w:type="dxa" w:w="864"/>
            <w:shd w:fill="1E3A8A"/>
            <w:tcMar>
              <w:top w:w="80" w:type="dxa"/>
              <w:bottom w:w="80" w:type="dxa"/>
              <w:left w:w="90" w:type="dxa"/>
              <w:right w:w="90" w:type="dxa"/>
            </w:tcMar>
          </w:tcPr>
          <w:p>
            <w:pPr>
              <w:jc w:val="center"/>
            </w:pPr>
            <w:r>
              <w:rPr>
                <w:b/>
                <w:color w:val="FFFFFF"/>
                <w:sz w:val="18"/>
              </w:rPr>
              <w:t>Units</w:t>
            </w:r>
          </w:p>
        </w:tc>
        <w:tc>
          <w:tcPr>
            <w:tcW w:type="dxa" w:w="1584"/>
            <w:shd w:fill="1E3A8A"/>
            <w:tcMar>
              <w:top w:w="80" w:type="dxa"/>
              <w:bottom w:w="80" w:type="dxa"/>
              <w:left w:w="90" w:type="dxa"/>
              <w:right w:w="90" w:type="dxa"/>
            </w:tcMar>
          </w:tcPr>
          <w:p>
            <w:pPr>
              <w:jc w:val="center"/>
            </w:pPr>
            <w:r>
              <w:rPr>
                <w:b/>
                <w:color w:val="FFFFFF"/>
                <w:sz w:val="18"/>
              </w:rPr>
              <w:t>Total Sales ($)</w:t>
            </w:r>
          </w:p>
        </w:tc>
        <w:tc>
          <w:tcPr>
            <w:tcW w:type="dxa" w:w="1584"/>
            <w:shd w:fill="1E3A8A"/>
            <w:tcMar>
              <w:top w:w="80" w:type="dxa"/>
              <w:bottom w:w="80" w:type="dxa"/>
              <w:left w:w="90" w:type="dxa"/>
              <w:right w:w="90" w:type="dxa"/>
            </w:tcMar>
          </w:tcPr>
          <w:p>
            <w:pPr>
              <w:jc w:val="center"/>
            </w:pPr>
            <w:r>
              <w:rPr>
                <w:b/>
                <w:color w:val="FFFFFF"/>
                <w:sz w:val="18"/>
              </w:rPr>
              <w:t>Shipping Spend ($)</w:t>
            </w:r>
          </w:p>
        </w:tc>
        <w:tc>
          <w:tcPr>
            <w:tcW w:type="dxa" w:w="1296"/>
            <w:shd w:fill="1E3A8A"/>
            <w:tcMar>
              <w:top w:w="80" w:type="dxa"/>
              <w:bottom w:w="80" w:type="dxa"/>
              <w:left w:w="90" w:type="dxa"/>
              <w:right w:w="90" w:type="dxa"/>
            </w:tcMar>
          </w:tcPr>
          <w:p>
            <w:pPr>
              <w:jc w:val="center"/>
            </w:pPr>
            <w:r>
              <w:rPr>
                <w:b/>
                <w:color w:val="FFFFFF"/>
                <w:sz w:val="18"/>
              </w:rPr>
              <w:t>Avg Latency (d)</w:t>
            </w:r>
          </w:p>
        </w:tc>
        <w:tc>
          <w:tcPr>
            <w:tcW w:type="dxa" w:w="1296"/>
            <w:shd w:fill="1E3A8A"/>
            <w:tcMar>
              <w:top w:w="80" w:type="dxa"/>
              <w:bottom w:w="80" w:type="dxa"/>
              <w:left w:w="90" w:type="dxa"/>
              <w:right w:w="90" w:type="dxa"/>
            </w:tcMar>
          </w:tcPr>
          <w:p>
            <w:pPr>
              <w:jc w:val="center"/>
            </w:pPr>
            <w:r>
              <w:rPr>
                <w:b/>
                <w:color w:val="FFFFFF"/>
                <w:sz w:val="18"/>
              </w:rPr>
              <w:t>Delay Rate (%)</w:t>
            </w:r>
          </w:p>
        </w:tc>
        <w:tc>
          <w:tcPr>
            <w:tcW w:type="dxa" w:w="1296"/>
            <w:shd w:fill="1E3A8A"/>
            <w:tcMar>
              <w:top w:w="80" w:type="dxa"/>
              <w:bottom w:w="80" w:type="dxa"/>
              <w:left w:w="90" w:type="dxa"/>
              <w:right w:w="90" w:type="dxa"/>
            </w:tcMar>
          </w:tcPr>
          <w:p>
            <w:pPr>
              <w:jc w:val="center"/>
            </w:pPr>
            <w:r>
              <w:rPr>
                <w:b/>
                <w:color w:val="FFFFFF"/>
                <w:sz w:val="18"/>
              </w:rPr>
              <w:t>Freight Ratio (%)</w:t>
            </w:r>
          </w:p>
        </w:tc>
      </w:tr>
      <w:tr>
        <w:tc>
          <w:tcPr>
            <w:tcW w:type="dxa" w:w="2016"/>
            <w:shd w:fill="FFFFFF"/>
            <w:tcMar>
              <w:top w:w="60" w:type="dxa"/>
              <w:bottom w:w="60" w:type="dxa"/>
              <w:left w:w="80" w:type="dxa"/>
              <w:right w:w="80" w:type="dxa"/>
            </w:tcMar>
          </w:tcPr>
          <w:p>
            <w:pPr>
              <w:jc w:val="left"/>
            </w:pPr>
            <w:r>
              <w:rPr>
                <w:color w:val="0F172A"/>
                <w:sz w:val="17"/>
              </w:rPr>
              <w:t>Industrial Machinery</w:t>
            </w:r>
          </w:p>
        </w:tc>
        <w:tc>
          <w:tcPr>
            <w:tcW w:type="dxa" w:w="864"/>
            <w:shd w:fill="FFFFFF"/>
            <w:tcMar>
              <w:top w:w="60" w:type="dxa"/>
              <w:bottom w:w="60" w:type="dxa"/>
              <w:left w:w="80" w:type="dxa"/>
              <w:right w:w="80" w:type="dxa"/>
            </w:tcMar>
          </w:tcPr>
          <w:p>
            <w:pPr>
              <w:jc w:val="center"/>
            </w:pPr>
            <w:r>
              <w:rPr>
                <w:color w:val="0F172A"/>
                <w:sz w:val="17"/>
              </w:rPr>
              <w:t>199</w:t>
            </w:r>
          </w:p>
        </w:tc>
        <w:tc>
          <w:tcPr>
            <w:tcW w:type="dxa" w:w="864"/>
            <w:shd w:fill="FFFFFF"/>
            <w:tcMar>
              <w:top w:w="60" w:type="dxa"/>
              <w:bottom w:w="60" w:type="dxa"/>
              <w:left w:w="80" w:type="dxa"/>
              <w:right w:w="80" w:type="dxa"/>
            </w:tcMar>
          </w:tcPr>
          <w:p>
            <w:pPr>
              <w:jc w:val="center"/>
            </w:pPr>
            <w:r>
              <w:rPr>
                <w:color w:val="0F172A"/>
                <w:sz w:val="17"/>
              </w:rPr>
              <w:t>829</w:t>
            </w:r>
          </w:p>
        </w:tc>
        <w:tc>
          <w:tcPr>
            <w:tcW w:type="dxa" w:w="1584"/>
            <w:shd w:fill="FFFFFF"/>
            <w:tcMar>
              <w:top w:w="60" w:type="dxa"/>
              <w:bottom w:w="60" w:type="dxa"/>
              <w:left w:w="80" w:type="dxa"/>
              <w:right w:w="80" w:type="dxa"/>
            </w:tcMar>
          </w:tcPr>
          <w:p>
            <w:pPr>
              <w:jc w:val="center"/>
            </w:pPr>
            <w:r>
              <w:rPr>
                <w:color w:val="0F172A"/>
                <w:sz w:val="17"/>
              </w:rPr>
              <w:t>$364,799.80</w:t>
            </w:r>
          </w:p>
        </w:tc>
        <w:tc>
          <w:tcPr>
            <w:tcW w:type="dxa" w:w="1584"/>
            <w:shd w:fill="FFFFFF"/>
            <w:tcMar>
              <w:top w:w="60" w:type="dxa"/>
              <w:bottom w:w="60" w:type="dxa"/>
              <w:left w:w="80" w:type="dxa"/>
              <w:right w:w="80" w:type="dxa"/>
            </w:tcMar>
          </w:tcPr>
          <w:p>
            <w:pPr>
              <w:jc w:val="center"/>
            </w:pPr>
            <w:r>
              <w:rPr>
                <w:color w:val="0F172A"/>
                <w:sz w:val="17"/>
              </w:rPr>
              <w:t>$18,500.40</w:t>
            </w:r>
          </w:p>
        </w:tc>
        <w:tc>
          <w:tcPr>
            <w:tcW w:type="dxa" w:w="1296"/>
            <w:shd w:fill="FFFFFF"/>
            <w:tcMar>
              <w:top w:w="60" w:type="dxa"/>
              <w:bottom w:w="60" w:type="dxa"/>
              <w:left w:w="80" w:type="dxa"/>
              <w:right w:w="80" w:type="dxa"/>
            </w:tcMar>
          </w:tcPr>
          <w:p>
            <w:pPr>
              <w:jc w:val="center"/>
            </w:pPr>
            <w:r>
              <w:rPr>
                <w:color w:val="0F172A"/>
                <w:sz w:val="17"/>
              </w:rPr>
              <w:t>4.91</w:t>
            </w:r>
          </w:p>
        </w:tc>
        <w:tc>
          <w:tcPr>
            <w:tcW w:type="dxa" w:w="1296"/>
            <w:shd w:fill="FFFFFF"/>
            <w:tcMar>
              <w:top w:w="60" w:type="dxa"/>
              <w:bottom w:w="60" w:type="dxa"/>
              <w:left w:w="80" w:type="dxa"/>
              <w:right w:w="80" w:type="dxa"/>
            </w:tcMar>
          </w:tcPr>
          <w:p>
            <w:pPr>
              <w:jc w:val="center"/>
            </w:pPr>
            <w:r>
              <w:rPr>
                <w:color w:val="0F172A"/>
                <w:sz w:val="17"/>
              </w:rPr>
              <w:t>68.34%</w:t>
            </w:r>
          </w:p>
        </w:tc>
        <w:tc>
          <w:tcPr>
            <w:tcW w:type="dxa" w:w="1296"/>
            <w:shd w:fill="FFFFFF"/>
            <w:tcMar>
              <w:top w:w="60" w:type="dxa"/>
              <w:bottom w:w="60" w:type="dxa"/>
              <w:left w:w="80" w:type="dxa"/>
              <w:right w:w="80" w:type="dxa"/>
            </w:tcMar>
          </w:tcPr>
          <w:p>
            <w:pPr>
              <w:jc w:val="center"/>
            </w:pPr>
            <w:r>
              <w:rPr>
                <w:color w:val="0F172A"/>
                <w:sz w:val="17"/>
              </w:rPr>
              <w:t>5.07%</w:t>
            </w:r>
          </w:p>
        </w:tc>
      </w:tr>
      <w:tr>
        <w:tc>
          <w:tcPr>
            <w:tcW w:type="dxa" w:w="2016"/>
            <w:shd w:fill="F1F5F9"/>
            <w:tcMar>
              <w:top w:w="60" w:type="dxa"/>
              <w:bottom w:w="60" w:type="dxa"/>
              <w:left w:w="80" w:type="dxa"/>
              <w:right w:w="80" w:type="dxa"/>
            </w:tcMar>
          </w:tcPr>
          <w:p>
            <w:pPr>
              <w:jc w:val="left"/>
            </w:pPr>
            <w:r>
              <w:rPr>
                <w:color w:val="0F172A"/>
                <w:sz w:val="17"/>
              </w:rPr>
              <w:t>Electronics</w:t>
            </w:r>
          </w:p>
        </w:tc>
        <w:tc>
          <w:tcPr>
            <w:tcW w:type="dxa" w:w="864"/>
            <w:shd w:fill="F1F5F9"/>
            <w:tcMar>
              <w:top w:w="60" w:type="dxa"/>
              <w:bottom w:w="60" w:type="dxa"/>
              <w:left w:w="80" w:type="dxa"/>
              <w:right w:w="80" w:type="dxa"/>
            </w:tcMar>
          </w:tcPr>
          <w:p>
            <w:pPr>
              <w:jc w:val="center"/>
            </w:pPr>
            <w:r>
              <w:rPr>
                <w:color w:val="0F172A"/>
                <w:sz w:val="17"/>
              </w:rPr>
              <w:t>369</w:t>
            </w:r>
          </w:p>
        </w:tc>
        <w:tc>
          <w:tcPr>
            <w:tcW w:type="dxa" w:w="864"/>
            <w:shd w:fill="F1F5F9"/>
            <w:tcMar>
              <w:top w:w="60" w:type="dxa"/>
              <w:bottom w:w="60" w:type="dxa"/>
              <w:left w:w="80" w:type="dxa"/>
              <w:right w:w="80" w:type="dxa"/>
            </w:tcMar>
          </w:tcPr>
          <w:p>
            <w:pPr>
              <w:jc w:val="center"/>
            </w:pPr>
            <w:r>
              <w:rPr>
                <w:color w:val="0F172A"/>
                <w:sz w:val="17"/>
              </w:rPr>
              <w:t>1,372</w:t>
            </w:r>
          </w:p>
        </w:tc>
        <w:tc>
          <w:tcPr>
            <w:tcW w:type="dxa" w:w="1584"/>
            <w:shd w:fill="F1F5F9"/>
            <w:tcMar>
              <w:top w:w="60" w:type="dxa"/>
              <w:bottom w:w="60" w:type="dxa"/>
              <w:left w:w="80" w:type="dxa"/>
              <w:right w:w="80" w:type="dxa"/>
            </w:tcMar>
          </w:tcPr>
          <w:p>
            <w:pPr>
              <w:jc w:val="center"/>
            </w:pPr>
            <w:r>
              <w:rPr>
                <w:color w:val="0F172A"/>
                <w:sz w:val="17"/>
              </w:rPr>
              <w:t>$275,874.59</w:t>
            </w:r>
          </w:p>
        </w:tc>
        <w:tc>
          <w:tcPr>
            <w:tcW w:type="dxa" w:w="1584"/>
            <w:shd w:fill="F1F5F9"/>
            <w:tcMar>
              <w:top w:w="60" w:type="dxa"/>
              <w:bottom w:w="60" w:type="dxa"/>
              <w:left w:w="80" w:type="dxa"/>
              <w:right w:w="80" w:type="dxa"/>
            </w:tcMar>
          </w:tcPr>
          <w:p>
            <w:pPr>
              <w:jc w:val="center"/>
            </w:pPr>
            <w:r>
              <w:rPr>
                <w:color w:val="0F172A"/>
                <w:sz w:val="17"/>
              </w:rPr>
              <w:t>$36,175.40</w:t>
            </w:r>
          </w:p>
        </w:tc>
        <w:tc>
          <w:tcPr>
            <w:tcW w:type="dxa" w:w="1296"/>
            <w:shd w:fill="F1F5F9"/>
            <w:tcMar>
              <w:top w:w="60" w:type="dxa"/>
              <w:bottom w:w="60" w:type="dxa"/>
              <w:left w:w="80" w:type="dxa"/>
              <w:right w:w="80" w:type="dxa"/>
            </w:tcMar>
          </w:tcPr>
          <w:p>
            <w:pPr>
              <w:jc w:val="center"/>
            </w:pPr>
            <w:r>
              <w:rPr>
                <w:color w:val="0F172A"/>
                <w:sz w:val="17"/>
              </w:rPr>
              <w:t>4.87</w:t>
            </w:r>
          </w:p>
        </w:tc>
        <w:tc>
          <w:tcPr>
            <w:tcW w:type="dxa" w:w="1296"/>
            <w:shd w:fill="F1F5F9"/>
            <w:tcMar>
              <w:top w:w="60" w:type="dxa"/>
              <w:bottom w:w="60" w:type="dxa"/>
              <w:left w:w="80" w:type="dxa"/>
              <w:right w:w="80" w:type="dxa"/>
            </w:tcMar>
          </w:tcPr>
          <w:p>
            <w:pPr>
              <w:jc w:val="center"/>
            </w:pPr>
            <w:r>
              <w:rPr>
                <w:color w:val="0F172A"/>
                <w:sz w:val="17"/>
              </w:rPr>
              <w:t>71.00%</w:t>
            </w:r>
          </w:p>
        </w:tc>
        <w:tc>
          <w:tcPr>
            <w:tcW w:type="dxa" w:w="1296"/>
            <w:shd w:fill="F1F5F9"/>
            <w:tcMar>
              <w:top w:w="60" w:type="dxa"/>
              <w:bottom w:w="60" w:type="dxa"/>
              <w:left w:w="80" w:type="dxa"/>
              <w:right w:w="80" w:type="dxa"/>
            </w:tcMar>
          </w:tcPr>
          <w:p>
            <w:pPr>
              <w:jc w:val="center"/>
            </w:pPr>
            <w:r>
              <w:rPr>
                <w:color w:val="0F172A"/>
                <w:sz w:val="17"/>
              </w:rPr>
              <w:t>13.11%</w:t>
            </w:r>
          </w:p>
        </w:tc>
      </w:tr>
      <w:tr>
        <w:tc>
          <w:tcPr>
            <w:tcW w:type="dxa" w:w="2016"/>
            <w:shd w:fill="FFFFFF"/>
            <w:tcMar>
              <w:top w:w="60" w:type="dxa"/>
              <w:bottom w:w="60" w:type="dxa"/>
              <w:left w:w="80" w:type="dxa"/>
              <w:right w:w="80" w:type="dxa"/>
            </w:tcMar>
          </w:tcPr>
          <w:p>
            <w:pPr>
              <w:jc w:val="left"/>
            </w:pPr>
            <w:r>
              <w:rPr>
                <w:color w:val="0F172A"/>
                <w:sz w:val="17"/>
              </w:rPr>
              <w:t>Apparel</w:t>
            </w:r>
          </w:p>
        </w:tc>
        <w:tc>
          <w:tcPr>
            <w:tcW w:type="dxa" w:w="864"/>
            <w:shd w:fill="FFFFFF"/>
            <w:tcMar>
              <w:top w:w="60" w:type="dxa"/>
              <w:bottom w:w="60" w:type="dxa"/>
              <w:left w:w="80" w:type="dxa"/>
              <w:right w:w="80" w:type="dxa"/>
            </w:tcMar>
          </w:tcPr>
          <w:p>
            <w:pPr>
              <w:jc w:val="center"/>
            </w:pPr>
            <w:r>
              <w:rPr>
                <w:color w:val="0F172A"/>
                <w:sz w:val="17"/>
              </w:rPr>
              <w:t>246</w:t>
            </w:r>
          </w:p>
        </w:tc>
        <w:tc>
          <w:tcPr>
            <w:tcW w:type="dxa" w:w="864"/>
            <w:shd w:fill="FFFFFF"/>
            <w:tcMar>
              <w:top w:w="60" w:type="dxa"/>
              <w:bottom w:w="60" w:type="dxa"/>
              <w:left w:w="80" w:type="dxa"/>
              <w:right w:w="80" w:type="dxa"/>
            </w:tcMar>
          </w:tcPr>
          <w:p>
            <w:pPr>
              <w:jc w:val="center"/>
            </w:pPr>
            <w:r>
              <w:rPr>
                <w:color w:val="0F172A"/>
                <w:sz w:val="17"/>
              </w:rPr>
              <w:t>781</w:t>
            </w:r>
          </w:p>
        </w:tc>
        <w:tc>
          <w:tcPr>
            <w:tcW w:type="dxa" w:w="1584"/>
            <w:shd w:fill="FFFFFF"/>
            <w:tcMar>
              <w:top w:w="60" w:type="dxa"/>
              <w:bottom w:w="60" w:type="dxa"/>
              <w:left w:w="80" w:type="dxa"/>
              <w:right w:w="80" w:type="dxa"/>
            </w:tcMar>
          </w:tcPr>
          <w:p>
            <w:pPr>
              <w:jc w:val="center"/>
            </w:pPr>
            <w:r>
              <w:rPr>
                <w:color w:val="0F172A"/>
                <w:sz w:val="17"/>
              </w:rPr>
              <w:t>$52,512.50</w:t>
            </w:r>
          </w:p>
        </w:tc>
        <w:tc>
          <w:tcPr>
            <w:tcW w:type="dxa" w:w="1584"/>
            <w:shd w:fill="FFFFFF"/>
            <w:tcMar>
              <w:top w:w="60" w:type="dxa"/>
              <w:bottom w:w="60" w:type="dxa"/>
              <w:left w:w="80" w:type="dxa"/>
              <w:right w:w="80" w:type="dxa"/>
            </w:tcMar>
          </w:tcPr>
          <w:p>
            <w:pPr>
              <w:jc w:val="center"/>
            </w:pPr>
            <w:r>
              <w:rPr>
                <w:color w:val="0F172A"/>
                <w:sz w:val="17"/>
              </w:rPr>
              <w:t>$22,133.66</w:t>
            </w:r>
          </w:p>
        </w:tc>
        <w:tc>
          <w:tcPr>
            <w:tcW w:type="dxa" w:w="1296"/>
            <w:shd w:fill="FFFFFF"/>
            <w:tcMar>
              <w:top w:w="60" w:type="dxa"/>
              <w:bottom w:w="60" w:type="dxa"/>
              <w:left w:w="80" w:type="dxa"/>
              <w:right w:w="80" w:type="dxa"/>
            </w:tcMar>
          </w:tcPr>
          <w:p>
            <w:pPr>
              <w:jc w:val="center"/>
            </w:pPr>
            <w:r>
              <w:rPr>
                <w:color w:val="0F172A"/>
                <w:sz w:val="17"/>
              </w:rPr>
              <w:t>4.99</w:t>
            </w:r>
          </w:p>
        </w:tc>
        <w:tc>
          <w:tcPr>
            <w:tcW w:type="dxa" w:w="1296"/>
            <w:shd w:fill="FFFFFF"/>
            <w:tcMar>
              <w:top w:w="60" w:type="dxa"/>
              <w:bottom w:w="60" w:type="dxa"/>
              <w:left w:w="80" w:type="dxa"/>
              <w:right w:w="80" w:type="dxa"/>
            </w:tcMar>
          </w:tcPr>
          <w:p>
            <w:pPr>
              <w:jc w:val="center"/>
            </w:pPr>
            <w:r>
              <w:rPr>
                <w:color w:val="0F172A"/>
                <w:sz w:val="17"/>
              </w:rPr>
              <w:t>70.33%</w:t>
            </w:r>
          </w:p>
        </w:tc>
        <w:tc>
          <w:tcPr>
            <w:tcW w:type="dxa" w:w="1296"/>
            <w:shd w:fill="FFFFFF"/>
            <w:tcMar>
              <w:top w:w="60" w:type="dxa"/>
              <w:bottom w:w="60" w:type="dxa"/>
              <w:left w:w="80" w:type="dxa"/>
              <w:right w:w="80" w:type="dxa"/>
            </w:tcMar>
          </w:tcPr>
          <w:p>
            <w:pPr>
              <w:jc w:val="center"/>
            </w:pPr>
            <w:r>
              <w:rPr>
                <w:color w:val="0F172A"/>
                <w:sz w:val="17"/>
              </w:rPr>
              <w:t>42.15%</w:t>
            </w:r>
          </w:p>
        </w:tc>
      </w:tr>
      <w:tr>
        <w:tc>
          <w:tcPr>
            <w:tcW w:type="dxa" w:w="2016"/>
            <w:shd w:fill="F1F5F9"/>
            <w:tcMar>
              <w:top w:w="60" w:type="dxa"/>
              <w:bottom w:w="60" w:type="dxa"/>
              <w:left w:w="80" w:type="dxa"/>
              <w:right w:w="80" w:type="dxa"/>
            </w:tcMar>
          </w:tcPr>
          <w:p>
            <w:pPr>
              <w:jc w:val="left"/>
            </w:pPr>
            <w:r>
              <w:rPr>
                <w:color w:val="0F172A"/>
                <w:sz w:val="17"/>
              </w:rPr>
              <w:t>Healthcare Supplies</w:t>
            </w:r>
          </w:p>
        </w:tc>
        <w:tc>
          <w:tcPr>
            <w:tcW w:type="dxa" w:w="864"/>
            <w:shd w:fill="F1F5F9"/>
            <w:tcMar>
              <w:top w:w="60" w:type="dxa"/>
              <w:bottom w:w="60" w:type="dxa"/>
              <w:left w:w="80" w:type="dxa"/>
              <w:right w:w="80" w:type="dxa"/>
            </w:tcMar>
          </w:tcPr>
          <w:p>
            <w:pPr>
              <w:jc w:val="center"/>
            </w:pPr>
            <w:r>
              <w:rPr>
                <w:color w:val="0F172A"/>
                <w:sz w:val="17"/>
              </w:rPr>
              <w:t>114</w:t>
            </w:r>
          </w:p>
        </w:tc>
        <w:tc>
          <w:tcPr>
            <w:tcW w:type="dxa" w:w="864"/>
            <w:shd w:fill="F1F5F9"/>
            <w:tcMar>
              <w:top w:w="60" w:type="dxa"/>
              <w:bottom w:w="60" w:type="dxa"/>
              <w:left w:w="80" w:type="dxa"/>
              <w:right w:w="80" w:type="dxa"/>
            </w:tcMar>
          </w:tcPr>
          <w:p>
            <w:pPr>
              <w:jc w:val="center"/>
            </w:pPr>
            <w:r>
              <w:rPr>
                <w:color w:val="0F172A"/>
                <w:sz w:val="17"/>
              </w:rPr>
              <w:t>366</w:t>
            </w:r>
          </w:p>
        </w:tc>
        <w:tc>
          <w:tcPr>
            <w:tcW w:type="dxa" w:w="1584"/>
            <w:shd w:fill="F1F5F9"/>
            <w:tcMar>
              <w:top w:w="60" w:type="dxa"/>
              <w:bottom w:w="60" w:type="dxa"/>
              <w:left w:w="80" w:type="dxa"/>
              <w:right w:w="80" w:type="dxa"/>
            </w:tcMar>
          </w:tcPr>
          <w:p>
            <w:pPr>
              <w:jc w:val="center"/>
            </w:pPr>
            <w:r>
              <w:rPr>
                <w:color w:val="0F172A"/>
                <w:sz w:val="17"/>
              </w:rPr>
              <w:t>$40,619.81</w:t>
            </w:r>
          </w:p>
        </w:tc>
        <w:tc>
          <w:tcPr>
            <w:tcW w:type="dxa" w:w="1584"/>
            <w:shd w:fill="F1F5F9"/>
            <w:tcMar>
              <w:top w:w="60" w:type="dxa"/>
              <w:bottom w:w="60" w:type="dxa"/>
              <w:left w:w="80" w:type="dxa"/>
              <w:right w:w="80" w:type="dxa"/>
            </w:tcMar>
          </w:tcPr>
          <w:p>
            <w:pPr>
              <w:jc w:val="center"/>
            </w:pPr>
            <w:r>
              <w:rPr>
                <w:color w:val="0F172A"/>
                <w:sz w:val="17"/>
              </w:rPr>
              <w:t>$10,060.29</w:t>
            </w:r>
          </w:p>
        </w:tc>
        <w:tc>
          <w:tcPr>
            <w:tcW w:type="dxa" w:w="1296"/>
            <w:shd w:fill="F1F5F9"/>
            <w:tcMar>
              <w:top w:w="60" w:type="dxa"/>
              <w:bottom w:w="60" w:type="dxa"/>
              <w:left w:w="80" w:type="dxa"/>
              <w:right w:w="80" w:type="dxa"/>
            </w:tcMar>
          </w:tcPr>
          <w:p>
            <w:pPr>
              <w:jc w:val="center"/>
            </w:pPr>
            <w:r>
              <w:rPr>
                <w:color w:val="0F172A"/>
                <w:sz w:val="17"/>
              </w:rPr>
              <w:t>5.15</w:t>
            </w:r>
          </w:p>
        </w:tc>
        <w:tc>
          <w:tcPr>
            <w:tcW w:type="dxa" w:w="1296"/>
            <w:shd w:fill="F1F5F9"/>
            <w:tcMar>
              <w:top w:w="60" w:type="dxa"/>
              <w:bottom w:w="60" w:type="dxa"/>
              <w:left w:w="80" w:type="dxa"/>
              <w:right w:w="80" w:type="dxa"/>
            </w:tcMar>
          </w:tcPr>
          <w:p>
            <w:pPr>
              <w:jc w:val="center"/>
            </w:pPr>
            <w:r>
              <w:rPr>
                <w:color w:val="0F172A"/>
                <w:sz w:val="17"/>
              </w:rPr>
              <w:t>72.81%</w:t>
            </w:r>
          </w:p>
        </w:tc>
        <w:tc>
          <w:tcPr>
            <w:tcW w:type="dxa" w:w="1296"/>
            <w:shd w:fill="F1F5F9"/>
            <w:tcMar>
              <w:top w:w="60" w:type="dxa"/>
              <w:bottom w:w="60" w:type="dxa"/>
              <w:left w:w="80" w:type="dxa"/>
              <w:right w:w="80" w:type="dxa"/>
            </w:tcMar>
          </w:tcPr>
          <w:p>
            <w:pPr>
              <w:jc w:val="center"/>
            </w:pPr>
            <w:r>
              <w:rPr>
                <w:color w:val="0F172A"/>
                <w:sz w:val="17"/>
              </w:rPr>
              <w:t>24.77%</w:t>
            </w:r>
          </w:p>
        </w:tc>
      </w:tr>
      <w:tr>
        <w:tc>
          <w:tcPr>
            <w:tcW w:type="dxa" w:w="2016"/>
            <w:shd w:fill="FFFFFF"/>
            <w:tcMar>
              <w:top w:w="60" w:type="dxa"/>
              <w:bottom w:w="60" w:type="dxa"/>
              <w:left w:w="80" w:type="dxa"/>
              <w:right w:w="80" w:type="dxa"/>
            </w:tcMar>
          </w:tcPr>
          <w:p>
            <w:pPr>
              <w:jc w:val="left"/>
            </w:pPr>
            <w:r>
              <w:rPr>
                <w:color w:val="0F172A"/>
                <w:sz w:val="17"/>
              </w:rPr>
              <w:t>Office Supplies</w:t>
            </w:r>
          </w:p>
        </w:tc>
        <w:tc>
          <w:tcPr>
            <w:tcW w:type="dxa" w:w="864"/>
            <w:shd w:fill="FFFFFF"/>
            <w:tcMar>
              <w:top w:w="60" w:type="dxa"/>
              <w:bottom w:w="60" w:type="dxa"/>
              <w:left w:w="80" w:type="dxa"/>
              <w:right w:w="80" w:type="dxa"/>
            </w:tcMar>
          </w:tcPr>
          <w:p>
            <w:pPr>
              <w:jc w:val="center"/>
            </w:pPr>
            <w:r>
              <w:rPr>
                <w:color w:val="0F172A"/>
                <w:sz w:val="17"/>
              </w:rPr>
              <w:t>322</w:t>
            </w:r>
          </w:p>
        </w:tc>
        <w:tc>
          <w:tcPr>
            <w:tcW w:type="dxa" w:w="864"/>
            <w:shd w:fill="FFFFFF"/>
            <w:tcMar>
              <w:top w:w="60" w:type="dxa"/>
              <w:bottom w:w="60" w:type="dxa"/>
              <w:left w:w="80" w:type="dxa"/>
              <w:right w:w="80" w:type="dxa"/>
            </w:tcMar>
          </w:tcPr>
          <w:p>
            <w:pPr>
              <w:jc w:val="center"/>
            </w:pPr>
            <w:r>
              <w:rPr>
                <w:color w:val="0F172A"/>
                <w:sz w:val="17"/>
              </w:rPr>
              <w:t>961</w:t>
            </w:r>
          </w:p>
        </w:tc>
        <w:tc>
          <w:tcPr>
            <w:tcW w:type="dxa" w:w="1584"/>
            <w:shd w:fill="FFFFFF"/>
            <w:tcMar>
              <w:top w:w="60" w:type="dxa"/>
              <w:bottom w:w="60" w:type="dxa"/>
              <w:left w:w="80" w:type="dxa"/>
              <w:right w:w="80" w:type="dxa"/>
            </w:tcMar>
          </w:tcPr>
          <w:p>
            <w:pPr>
              <w:jc w:val="center"/>
            </w:pPr>
            <w:r>
              <w:rPr>
                <w:color w:val="0F172A"/>
                <w:sz w:val="17"/>
              </w:rPr>
              <w:t>$35,487.15</w:t>
            </w:r>
          </w:p>
        </w:tc>
        <w:tc>
          <w:tcPr>
            <w:tcW w:type="dxa" w:w="1584"/>
            <w:shd w:fill="FFFFFF"/>
            <w:tcMar>
              <w:top w:w="60" w:type="dxa"/>
              <w:bottom w:w="60" w:type="dxa"/>
              <w:left w:w="80" w:type="dxa"/>
              <w:right w:w="80" w:type="dxa"/>
            </w:tcMar>
          </w:tcPr>
          <w:p>
            <w:pPr>
              <w:jc w:val="center"/>
            </w:pPr>
            <w:r>
              <w:rPr>
                <w:color w:val="0F172A"/>
                <w:sz w:val="17"/>
              </w:rPr>
              <w:t>$27,939.58</w:t>
            </w:r>
          </w:p>
        </w:tc>
        <w:tc>
          <w:tcPr>
            <w:tcW w:type="dxa" w:w="1296"/>
            <w:shd w:fill="FFFFFF"/>
            <w:tcMar>
              <w:top w:w="60" w:type="dxa"/>
              <w:bottom w:w="60" w:type="dxa"/>
              <w:left w:w="80" w:type="dxa"/>
              <w:right w:w="80" w:type="dxa"/>
            </w:tcMar>
          </w:tcPr>
          <w:p>
            <w:pPr>
              <w:jc w:val="center"/>
            </w:pPr>
            <w:r>
              <w:rPr>
                <w:color w:val="0F172A"/>
                <w:sz w:val="17"/>
              </w:rPr>
              <w:t>5.17</w:t>
            </w:r>
          </w:p>
        </w:tc>
        <w:tc>
          <w:tcPr>
            <w:tcW w:type="dxa" w:w="1296"/>
            <w:shd w:fill="FFFFFF"/>
            <w:tcMar>
              <w:top w:w="60" w:type="dxa"/>
              <w:bottom w:w="60" w:type="dxa"/>
              <w:left w:w="80" w:type="dxa"/>
              <w:right w:w="80" w:type="dxa"/>
            </w:tcMar>
          </w:tcPr>
          <w:p>
            <w:pPr>
              <w:jc w:val="center"/>
            </w:pPr>
            <w:r>
              <w:rPr>
                <w:color w:val="0F172A"/>
                <w:sz w:val="17"/>
              </w:rPr>
              <w:t>75.47%</w:t>
            </w:r>
          </w:p>
        </w:tc>
        <w:tc>
          <w:tcPr>
            <w:tcW w:type="dxa" w:w="1296"/>
            <w:shd w:fill="FFFFFF"/>
            <w:tcMar>
              <w:top w:w="60" w:type="dxa"/>
              <w:bottom w:w="60" w:type="dxa"/>
              <w:left w:w="80" w:type="dxa"/>
              <w:right w:w="80" w:type="dxa"/>
            </w:tcMar>
          </w:tcPr>
          <w:p>
            <w:pPr>
              <w:jc w:val="center"/>
            </w:pPr>
            <w:r>
              <w:rPr>
                <w:color w:val="0F172A"/>
                <w:sz w:val="17"/>
              </w:rPr>
              <w:t>78.73%</w:t>
            </w:r>
          </w:p>
        </w:tc>
      </w:tr>
    </w:tbl>
    <w:p>
      <w:pPr>
        <w:spacing w:after="160"/>
      </w:pPr>
    </w:p>
    <w:p>
      <w:pPr>
        <w:pStyle w:val="Heading1"/>
        <w:keepNext/>
        <w:spacing w:before="360" w:after="120"/>
      </w:pPr>
      <w:r>
        <w:rPr>
          <w:rFonts w:ascii="Segoe UI Semibold" w:hAnsi="Segoe UI Semibold"/>
          <w:b/>
          <w:color w:val="1E3A8A"/>
          <w:sz w:val="32"/>
        </w:rPr>
        <w:t>17. Outlier Analysis</w:t>
      </w:r>
    </w:p>
    <w:p>
      <w:pPr>
        <w:spacing w:after="120" w:line="276" w:lineRule="auto"/>
      </w:pPr>
      <w:r>
        <w:rPr>
          <w:rFonts w:ascii="Segoe UI" w:hAnsi="Segoe UI"/>
          <w:i w:val="0"/>
          <w:sz w:val="20"/>
        </w:rPr>
        <w:t>Outlier detection was performed using Tukey's Interquartile Range (IQR) Fences Rule. In logistics engineering, statistical outliers (such as bulk orders of 50 units or express shipments of $233) represent legitimate commercial events rather than data entry corruptions, and are retained for full empirical fidelity.</w:t>
      </w:r>
    </w:p>
    <w:p>
      <w:pPr>
        <w:pStyle w:val="Heading1"/>
        <w:keepNext/>
        <w:spacing w:before="360" w:after="120"/>
      </w:pPr>
      <w:r>
        <w:rPr>
          <w:rFonts w:ascii="Segoe UI Semibold" w:hAnsi="Segoe UI Semibold"/>
          <w:b/>
          <w:color w:val="1E3A8A"/>
          <w:sz w:val="32"/>
        </w:rPr>
        <w:t>18. Advanced Multivariate Visualizations</w:t>
      </w:r>
    </w:p>
    <w:p>
      <w:pPr>
        <w:spacing w:after="120" w:line="276" w:lineRule="auto"/>
      </w:pPr>
      <w:r>
        <w:rPr>
          <w:rFonts w:ascii="Segoe UI" w:hAnsi="Segoe UI"/>
          <w:i w:val="0"/>
          <w:sz w:val="20"/>
        </w:rPr>
        <w:t>Multivariate analysis evaluated the simultaneous interactions between customer segments, service tiers, destination regions, and fulfillment reliability.</w:t>
      </w:r>
    </w:p>
    <w:p>
      <w:pPr>
        <w:spacing w:before="160" w:after="60"/>
        <w:jc w:val="center"/>
      </w:pPr>
      <w:r>
        <w:drawing>
          <wp:inline xmlns:a="http://schemas.openxmlformats.org/drawingml/2006/main" xmlns:pic="http://schemas.openxmlformats.org/drawingml/2006/picture">
            <wp:extent cx="5303520" cy="2669938"/>
            <wp:docPr id="14" name="Picture 14"/>
            <wp:cNvGraphicFramePr>
              <a:graphicFrameLocks noChangeAspect="1"/>
            </wp:cNvGraphicFramePr>
            <a:graphic>
              <a:graphicData uri="http://schemas.openxmlformats.org/drawingml/2006/picture">
                <pic:pic>
                  <pic:nvPicPr>
                    <pic:cNvPr id="0" name="14_customer_segment_comparison.png"/>
                    <pic:cNvPicPr/>
                  </pic:nvPicPr>
                  <pic:blipFill>
                    <a:blip r:embed="rId24"/>
                    <a:stretch>
                      <a:fillRect/>
                    </a:stretch>
                  </pic:blipFill>
                  <pic:spPr>
                    <a:xfrm>
                      <a:off x="0" y="0"/>
                      <a:ext cx="5303520" cy="2669938"/>
                    </a:xfrm>
                    <a:prstGeom prst="rect"/>
                  </pic:spPr>
                </pic:pic>
              </a:graphicData>
            </a:graphic>
          </wp:inline>
        </w:drawing>
      </w:r>
    </w:p>
    <w:p>
      <w:pPr>
        <w:spacing w:after="240"/>
        <w:jc w:val="center"/>
      </w:pPr>
      <w:r>
        <w:rPr>
          <w:rFonts w:ascii="Segoe UI" w:hAnsi="Segoe UI"/>
          <w:i/>
          <w:color w:val="64748B"/>
          <w:sz w:val="17"/>
        </w:rPr>
        <w:t>Figure: Multidimensional logistics comparison across commercial customer segments.</w:t>
      </w:r>
    </w:p>
    <w:p>
      <w:pPr>
        <w:spacing w:before="160" w:after="60"/>
        <w:jc w:val="center"/>
      </w:pPr>
      <w:r>
        <w:drawing>
          <wp:inline xmlns:a="http://schemas.openxmlformats.org/drawingml/2006/main" xmlns:pic="http://schemas.openxmlformats.org/drawingml/2006/picture">
            <wp:extent cx="5303520" cy="3756009"/>
            <wp:docPr id="15" name="Picture 15"/>
            <wp:cNvGraphicFramePr>
              <a:graphicFrameLocks noChangeAspect="1"/>
            </wp:cNvGraphicFramePr>
            <a:graphic>
              <a:graphicData uri="http://schemas.openxmlformats.org/drawingml/2006/picture">
                <pic:pic>
                  <pic:nvPicPr>
                    <pic:cNvPr id="0" name="15_multivariate_delay_risk_matrix.png"/>
                    <pic:cNvPicPr/>
                  </pic:nvPicPr>
                  <pic:blipFill>
                    <a:blip r:embed="rId25"/>
                    <a:stretch>
                      <a:fillRect/>
                    </a:stretch>
                  </pic:blipFill>
                  <pic:spPr>
                    <a:xfrm>
                      <a:off x="0" y="0"/>
                      <a:ext cx="5303520" cy="3756009"/>
                    </a:xfrm>
                    <a:prstGeom prst="rect"/>
                  </pic:spPr>
                </pic:pic>
              </a:graphicData>
            </a:graphic>
          </wp:inline>
        </w:drawing>
      </w:r>
    </w:p>
    <w:p>
      <w:pPr>
        <w:spacing w:after="240"/>
        <w:jc w:val="center"/>
      </w:pPr>
      <w:r>
        <w:rPr>
          <w:rFonts w:ascii="Segoe UI" w:hAnsi="Segoe UI"/>
          <w:i/>
          <w:color w:val="64748B"/>
          <w:sz w:val="17"/>
        </w:rPr>
        <w:t>Figure: Multivariate operational risk matrix heatmap: Delay rate (%) across Region and Shipping Mode.</w:t>
      </w:r>
    </w:p>
    <w:p>
      <w:pPr>
        <w:pStyle w:val="Heading1"/>
        <w:keepNext/>
        <w:spacing w:before="360" w:after="120"/>
      </w:pPr>
      <w:r>
        <w:rPr>
          <w:rFonts w:ascii="Segoe UI Semibold" w:hAnsi="Segoe UI Semibold"/>
          <w:b/>
          <w:color w:val="1E3A8A"/>
          <w:sz w:val="32"/>
        </w:rPr>
        <w:t>19. Key Analytical Insights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80"/>
            </w:pPr>
            <w:r>
              <w:rPr>
                <w:rFonts w:ascii="Segoe UI" w:hAnsi="Segoe UI"/>
                <w:b/>
                <w:color w:val="1E3A8A"/>
                <w:sz w:val="21"/>
              </w:rPr>
              <w:t>📌 INS-01: Regional Latency Disparities</w:t>
              <w:br/>
            </w:r>
            <w:r>
              <w:rPr>
                <w:rFonts w:ascii="Segoe UI" w:hAnsi="Segoe UI"/>
                <w:color w:val="0F172A"/>
                <w:sz w:val="19"/>
              </w:rPr>
              <w:t>Finding: Geographic destination creates substantial delivery latency variance, with South exhibiting the highest transit time (5.19 d) and delay rate (76.98%).</w:t>
              <w:br/>
              <w:t>Evidence: South records 5.19 days average latency vs 4.89 days in Central. Customer satisfaction in South is lowest (3.50 / 5.0).</w:t>
              <w:br/>
              <w:t>Business Meaning: Regional fulfillment variance stems from uneven warehouse proximity and multi-hub handoffs.</w:t>
              <w:br/>
              <w:t>Potential Action: Establish regional cross-docking hubs in Atlanta/Dallas to compress line-haul transit distance.</w:t>
            </w:r>
          </w:p>
        </w:tc>
      </w:tr>
    </w:tbl>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80"/>
            </w:pPr>
            <w:r>
              <w:rPr>
                <w:rFonts w:ascii="Segoe UI" w:hAnsi="Segoe UI"/>
                <w:b/>
                <w:color w:val="1E3A8A"/>
                <w:sz w:val="21"/>
              </w:rPr>
              <w:t>📌 INS-02: Modal Economics &amp; SLA Fragility</w:t>
              <w:br/>
            </w:r>
            <w:r>
              <w:rPr>
                <w:rFonts w:ascii="Segoe UI" w:hAnsi="Segoe UI"/>
                <w:color w:val="0F172A"/>
                <w:sz w:val="19"/>
              </w:rPr>
              <w:t>Finding: Premium expedited tiers command high shipping costs but struggle with severe punctuality failures.</w:t>
              <w:br/>
              <w:t>Evidence: Express Air costs $138.55/order with a 72.97% delay rate; Same-Day Courier costs $172.50 with a 76.19% delay rate.</w:t>
              <w:br/>
              <w:t>Business Meaning: Customers paying express surcharges have zero tolerance for schedule slippage, causing churn.</w:t>
              <w:br/>
              <w:t>Potential Action: Enforce priority picking in warehouse queues and contractual carrier penalty clawback clauses.</w:t>
            </w:r>
          </w:p>
        </w:tc>
      </w:tr>
    </w:tbl>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80"/>
            </w:pPr>
            <w:r>
              <w:rPr>
                <w:rFonts w:ascii="Segoe UI" w:hAnsi="Segoe UI"/>
                <w:b/>
                <w:color w:val="1E3A8A"/>
                <w:sz w:val="21"/>
              </w:rPr>
              <w:t>📌 INS-03: Category Freight Cost Burden</w:t>
              <w:br/>
            </w:r>
            <w:r>
              <w:rPr>
                <w:rFonts w:ascii="Segoe UI" w:hAnsi="Segoe UI"/>
                <w:color w:val="0F172A"/>
                <w:sz w:val="19"/>
              </w:rPr>
              <w:t>Finding: Office Supplies and Apparel generate severe logistics cost drag relative to commercial sales.</w:t>
              <w:br/>
              <w:t>Evidence: Office Supplies incurs a 78.73% freight-to-sales ratio ($27.9k shipping on $35.5k sales).</w:t>
              <w:br/>
              <w:t>Business Meaning: Low-value individual parcel dispatches wipe out product-level profitability.</w:t>
              <w:br/>
              <w:t>Potential Action: Enforce minimum order values ($50) and deploy automated 3D cartonization optimization software.</w:t>
            </w:r>
          </w:p>
        </w:tc>
      </w:tr>
    </w:tbl>
    <w:p/>
    <w:p>
      <w:pPr>
        <w:pStyle w:val="Heading1"/>
        <w:keepNext/>
        <w:spacing w:before="360" w:after="120"/>
      </w:pPr>
      <w:r>
        <w:rPr>
          <w:rFonts w:ascii="Segoe UI Semibold" w:hAnsi="Segoe UI Semibold"/>
          <w:b/>
          <w:color w:val="1E3A8A"/>
          <w:sz w:val="32"/>
        </w:rPr>
        <w:t>20. Logistics Bottlenecks Matrix</w:t>
      </w:r>
    </w:p>
    <w:p>
      <w:pPr>
        <w:spacing w:after="120" w:line="276" w:lineRule="auto"/>
      </w:pPr>
      <w:r>
        <w:rPr>
          <w:rFonts w:ascii="Segoe UI" w:hAnsi="Segoe UI"/>
          <w:i w:val="0"/>
          <w:sz w:val="20"/>
        </w:rPr>
        <w:t>The table below maps identified network bottlenecks against empirical evidence, operational concerns, and corrective interventions: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E3A8A"/>
            <w:tcMar>
              <w:top w:w="80" w:type="dxa"/>
              <w:bottom w:w="80" w:type="dxa"/>
              <w:left w:w="90" w:type="dxa"/>
              <w:right w:w="90" w:type="dxa"/>
            </w:tcMar>
          </w:tcPr>
          <w:p>
            <w:pPr>
              <w:jc w:val="center"/>
            </w:pPr>
            <w:r>
              <w:rPr>
                <w:b/>
                <w:color w:val="FFFFFF"/>
                <w:sz w:val="18"/>
              </w:rPr>
              <w:t>Logistics Area</w:t>
            </w:r>
          </w:p>
        </w:tc>
        <w:tc>
          <w:tcPr>
            <w:tcW w:type="dxa" w:w="1728"/>
            <w:shd w:fill="1E3A8A"/>
            <w:tcMar>
              <w:top w:w="80" w:type="dxa"/>
              <w:bottom w:w="80" w:type="dxa"/>
              <w:left w:w="90" w:type="dxa"/>
              <w:right w:w="90" w:type="dxa"/>
            </w:tcMar>
          </w:tcPr>
          <w:p>
            <w:pPr>
              <w:jc w:val="center"/>
            </w:pPr>
            <w:r>
              <w:rPr>
                <w:b/>
                <w:color w:val="FFFFFF"/>
                <w:sz w:val="18"/>
              </w:rPr>
              <w:t>Primary Indicator</w:t>
            </w:r>
          </w:p>
        </w:tc>
        <w:tc>
          <w:tcPr>
            <w:tcW w:type="dxa" w:w="2016"/>
            <w:shd w:fill="1E3A8A"/>
            <w:tcMar>
              <w:top w:w="80" w:type="dxa"/>
              <w:bottom w:w="80" w:type="dxa"/>
              <w:left w:w="90" w:type="dxa"/>
              <w:right w:w="90" w:type="dxa"/>
            </w:tcMar>
          </w:tcPr>
          <w:p>
            <w:pPr>
              <w:jc w:val="center"/>
            </w:pPr>
            <w:r>
              <w:rPr>
                <w:b/>
                <w:color w:val="FFFFFF"/>
                <w:sz w:val="18"/>
              </w:rPr>
              <w:t>Empirical Evidence</w:t>
            </w:r>
          </w:p>
        </w:tc>
        <w:tc>
          <w:tcPr>
            <w:tcW w:type="dxa" w:w="2016"/>
            <w:shd w:fill="1E3A8A"/>
            <w:tcMar>
              <w:top w:w="80" w:type="dxa"/>
              <w:bottom w:w="80" w:type="dxa"/>
              <w:left w:w="90" w:type="dxa"/>
              <w:right w:w="90" w:type="dxa"/>
            </w:tcMar>
          </w:tcPr>
          <w:p>
            <w:pPr>
              <w:jc w:val="center"/>
            </w:pPr>
            <w:r>
              <w:rPr>
                <w:b/>
                <w:color w:val="FFFFFF"/>
                <w:sz w:val="18"/>
              </w:rPr>
              <w:t>Operational Risk</w:t>
            </w:r>
          </w:p>
        </w:tc>
        <w:tc>
          <w:tcPr>
            <w:tcW w:type="dxa" w:w="1872"/>
            <w:shd w:fill="1E3A8A"/>
            <w:tcMar>
              <w:top w:w="80" w:type="dxa"/>
              <w:bottom w:w="80" w:type="dxa"/>
              <w:left w:w="90" w:type="dxa"/>
              <w:right w:w="90" w:type="dxa"/>
            </w:tcMar>
          </w:tcPr>
          <w:p>
            <w:pPr>
              <w:jc w:val="center"/>
            </w:pPr>
            <w:r>
              <w:rPr>
                <w:b/>
                <w:color w:val="FFFFFF"/>
                <w:sz w:val="18"/>
              </w:rPr>
              <w:t>Corrective Action</w:t>
            </w:r>
          </w:p>
        </w:tc>
      </w:tr>
      <w:tr>
        <w:tc>
          <w:tcPr>
            <w:tcW w:type="dxa" w:w="1728"/>
            <w:shd w:fill="FFFFFF"/>
            <w:tcMar>
              <w:top w:w="60" w:type="dxa"/>
              <w:bottom w:w="60" w:type="dxa"/>
              <w:left w:w="80" w:type="dxa"/>
              <w:right w:w="80" w:type="dxa"/>
            </w:tcMar>
          </w:tcPr>
          <w:p>
            <w:pPr>
              <w:jc w:val="left"/>
            </w:pPr>
            <w:r>
              <w:rPr>
                <w:color w:val="0F172A"/>
                <w:sz w:val="17"/>
              </w:rPr>
              <w:t>Region (South)</w:t>
            </w:r>
          </w:p>
        </w:tc>
        <w:tc>
          <w:tcPr>
            <w:tcW w:type="dxa" w:w="1728"/>
            <w:shd w:fill="FFFFFF"/>
            <w:tcMar>
              <w:top w:w="60" w:type="dxa"/>
              <w:bottom w:w="60" w:type="dxa"/>
              <w:left w:w="80" w:type="dxa"/>
              <w:right w:w="80" w:type="dxa"/>
            </w:tcMar>
          </w:tcPr>
          <w:p>
            <w:pPr>
              <w:jc w:val="center"/>
            </w:pPr>
            <w:r>
              <w:rPr>
                <w:color w:val="0F172A"/>
                <w:sz w:val="17"/>
              </w:rPr>
              <w:t>Delivery Latency &amp; Delay</w:t>
            </w:r>
          </w:p>
        </w:tc>
        <w:tc>
          <w:tcPr>
            <w:tcW w:type="dxa" w:w="2016"/>
            <w:shd w:fill="FFFFFF"/>
            <w:tcMar>
              <w:top w:w="60" w:type="dxa"/>
              <w:bottom w:w="60" w:type="dxa"/>
              <w:left w:w="80" w:type="dxa"/>
              <w:right w:w="80" w:type="dxa"/>
            </w:tcMar>
          </w:tcPr>
          <w:p>
            <w:pPr>
              <w:jc w:val="center"/>
            </w:pPr>
            <w:r>
              <w:rPr>
                <w:color w:val="0F172A"/>
                <w:sz w:val="17"/>
              </w:rPr>
              <w:t>5.19 days avg delivery; 76.98% delay rate across 252 orders</w:t>
            </w:r>
          </w:p>
        </w:tc>
        <w:tc>
          <w:tcPr>
            <w:tcW w:type="dxa" w:w="2016"/>
            <w:shd w:fill="FFFFFF"/>
            <w:tcMar>
              <w:top w:w="60" w:type="dxa"/>
              <w:bottom w:w="60" w:type="dxa"/>
              <w:left w:w="80" w:type="dxa"/>
              <w:right w:w="80" w:type="dxa"/>
            </w:tcMar>
          </w:tcPr>
          <w:p>
            <w:pPr>
              <w:jc w:val="center"/>
            </w:pPr>
            <w:r>
              <w:rPr>
                <w:color w:val="0F172A"/>
                <w:sz w:val="17"/>
              </w:rPr>
              <w:t>Protracted transit distance and remote handoffs causing customer churn.</w:t>
            </w:r>
          </w:p>
        </w:tc>
        <w:tc>
          <w:tcPr>
            <w:tcW w:type="dxa" w:w="1872"/>
            <w:shd w:fill="FFFFFF"/>
            <w:tcMar>
              <w:top w:w="60" w:type="dxa"/>
              <w:bottom w:w="60" w:type="dxa"/>
              <w:left w:w="80" w:type="dxa"/>
              <w:right w:w="80" w:type="dxa"/>
            </w:tcMar>
          </w:tcPr>
          <w:p>
            <w:pPr>
              <w:jc w:val="center"/>
            </w:pPr>
            <w:r>
              <w:rPr>
                <w:color w:val="0F172A"/>
                <w:sz w:val="17"/>
              </w:rPr>
              <w:t>Establish regional cross-docking hub and onboard secondary carriers.</w:t>
            </w:r>
          </w:p>
        </w:tc>
      </w:tr>
      <w:tr>
        <w:tc>
          <w:tcPr>
            <w:tcW w:type="dxa" w:w="1728"/>
            <w:shd w:fill="F1F5F9"/>
            <w:tcMar>
              <w:top w:w="60" w:type="dxa"/>
              <w:bottom w:w="60" w:type="dxa"/>
              <w:left w:w="80" w:type="dxa"/>
              <w:right w:w="80" w:type="dxa"/>
            </w:tcMar>
          </w:tcPr>
          <w:p>
            <w:pPr>
              <w:jc w:val="left"/>
            </w:pPr>
            <w:r>
              <w:rPr>
                <w:color w:val="0F172A"/>
                <w:sz w:val="17"/>
              </w:rPr>
              <w:t>Mode (Same-Day)</w:t>
            </w:r>
          </w:p>
        </w:tc>
        <w:tc>
          <w:tcPr>
            <w:tcW w:type="dxa" w:w="1728"/>
            <w:shd w:fill="F1F5F9"/>
            <w:tcMar>
              <w:top w:w="60" w:type="dxa"/>
              <w:bottom w:w="60" w:type="dxa"/>
              <w:left w:w="80" w:type="dxa"/>
              <w:right w:w="80" w:type="dxa"/>
            </w:tcMar>
          </w:tcPr>
          <w:p>
            <w:pPr>
              <w:jc w:val="center"/>
            </w:pPr>
            <w:r>
              <w:rPr>
                <w:color w:val="0F172A"/>
                <w:sz w:val="17"/>
              </w:rPr>
              <w:t>Severe SLA Breach</w:t>
            </w:r>
          </w:p>
        </w:tc>
        <w:tc>
          <w:tcPr>
            <w:tcW w:type="dxa" w:w="2016"/>
            <w:shd w:fill="F1F5F9"/>
            <w:tcMar>
              <w:top w:w="60" w:type="dxa"/>
              <w:bottom w:w="60" w:type="dxa"/>
              <w:left w:w="80" w:type="dxa"/>
              <w:right w:w="80" w:type="dxa"/>
            </w:tcMar>
          </w:tcPr>
          <w:p>
            <w:pPr>
              <w:jc w:val="center"/>
            </w:pPr>
            <w:r>
              <w:rPr>
                <w:color w:val="0F172A"/>
                <w:sz w:val="17"/>
              </w:rPr>
              <w:t>2.21 days avg delivery (vs 1.0 d SLA); 76.19% delay rate</w:t>
            </w:r>
          </w:p>
        </w:tc>
        <w:tc>
          <w:tcPr>
            <w:tcW w:type="dxa" w:w="2016"/>
            <w:shd w:fill="F1F5F9"/>
            <w:tcMar>
              <w:top w:w="60" w:type="dxa"/>
              <w:bottom w:w="60" w:type="dxa"/>
              <w:left w:w="80" w:type="dxa"/>
              <w:right w:w="80" w:type="dxa"/>
            </w:tcMar>
          </w:tcPr>
          <w:p>
            <w:pPr>
              <w:jc w:val="center"/>
            </w:pPr>
            <w:r>
              <w:rPr>
                <w:color w:val="0F172A"/>
                <w:sz w:val="17"/>
              </w:rPr>
              <w:t>Premium surcharge without delivery guarantee; refund exposure.</w:t>
            </w:r>
          </w:p>
        </w:tc>
        <w:tc>
          <w:tcPr>
            <w:tcW w:type="dxa" w:w="1872"/>
            <w:shd w:fill="F1F5F9"/>
            <w:tcMar>
              <w:top w:w="60" w:type="dxa"/>
              <w:bottom w:w="60" w:type="dxa"/>
              <w:left w:w="80" w:type="dxa"/>
              <w:right w:w="80" w:type="dxa"/>
            </w:tcMar>
          </w:tcPr>
          <w:p>
            <w:pPr>
              <w:jc w:val="center"/>
            </w:pPr>
            <w:r>
              <w:rPr>
                <w:color w:val="0F172A"/>
                <w:sz w:val="17"/>
              </w:rPr>
              <w:t>Restrict courier radius to 50 KM and deploy dedicated fleets.</w:t>
            </w:r>
          </w:p>
        </w:tc>
      </w:tr>
      <w:tr>
        <w:tc>
          <w:tcPr>
            <w:tcW w:type="dxa" w:w="1728"/>
            <w:shd w:fill="FFFFFF"/>
            <w:tcMar>
              <w:top w:w="60" w:type="dxa"/>
              <w:bottom w:w="60" w:type="dxa"/>
              <w:left w:w="80" w:type="dxa"/>
              <w:right w:w="80" w:type="dxa"/>
            </w:tcMar>
          </w:tcPr>
          <w:p>
            <w:pPr>
              <w:jc w:val="left"/>
            </w:pPr>
            <w:r>
              <w:rPr>
                <w:color w:val="0F172A"/>
                <w:sz w:val="17"/>
              </w:rPr>
              <w:t>Mode (Express Air)</w:t>
            </w:r>
          </w:p>
        </w:tc>
        <w:tc>
          <w:tcPr>
            <w:tcW w:type="dxa" w:w="1728"/>
            <w:shd w:fill="FFFFFF"/>
            <w:tcMar>
              <w:top w:w="60" w:type="dxa"/>
              <w:bottom w:w="60" w:type="dxa"/>
              <w:left w:w="80" w:type="dxa"/>
              <w:right w:w="80" w:type="dxa"/>
            </w:tcMar>
          </w:tcPr>
          <w:p>
            <w:pPr>
              <w:jc w:val="center"/>
            </w:pPr>
            <w:r>
              <w:rPr>
                <w:color w:val="0F172A"/>
                <w:sz w:val="17"/>
              </w:rPr>
              <w:t>Schedule Slippage</w:t>
            </w:r>
          </w:p>
        </w:tc>
        <w:tc>
          <w:tcPr>
            <w:tcW w:type="dxa" w:w="2016"/>
            <w:shd w:fill="FFFFFF"/>
            <w:tcMar>
              <w:top w:w="60" w:type="dxa"/>
              <w:bottom w:w="60" w:type="dxa"/>
              <w:left w:w="80" w:type="dxa"/>
              <w:right w:w="80" w:type="dxa"/>
            </w:tcMar>
          </w:tcPr>
          <w:p>
            <w:pPr>
              <w:jc w:val="center"/>
            </w:pPr>
            <w:r>
              <w:rPr>
                <w:color w:val="0F172A"/>
                <w:sz w:val="17"/>
              </w:rPr>
              <w:t>2.94 days avg delivery (vs 2.0 d SLA); 72.97% delay rate</w:t>
            </w:r>
          </w:p>
        </w:tc>
        <w:tc>
          <w:tcPr>
            <w:tcW w:type="dxa" w:w="2016"/>
            <w:shd w:fill="FFFFFF"/>
            <w:tcMar>
              <w:top w:w="60" w:type="dxa"/>
              <w:bottom w:w="60" w:type="dxa"/>
              <w:left w:w="80" w:type="dxa"/>
              <w:right w:w="80" w:type="dxa"/>
            </w:tcMar>
          </w:tcPr>
          <w:p>
            <w:pPr>
              <w:jc w:val="center"/>
            </w:pPr>
            <w:r>
              <w:rPr>
                <w:color w:val="0F172A"/>
                <w:sz w:val="17"/>
              </w:rPr>
              <w:t>High spend ($138.55/order) failing to deliver promised turnaround.</w:t>
            </w:r>
          </w:p>
        </w:tc>
        <w:tc>
          <w:tcPr>
            <w:tcW w:type="dxa" w:w="1872"/>
            <w:shd w:fill="FFFFFF"/>
            <w:tcMar>
              <w:top w:w="60" w:type="dxa"/>
              <w:bottom w:w="60" w:type="dxa"/>
              <w:left w:w="80" w:type="dxa"/>
              <w:right w:w="80" w:type="dxa"/>
            </w:tcMar>
          </w:tcPr>
          <w:p>
            <w:pPr>
              <w:jc w:val="center"/>
            </w:pPr>
            <w:r>
              <w:rPr>
                <w:color w:val="0F172A"/>
                <w:sz w:val="17"/>
              </w:rPr>
              <w:t>Enforce warehouse priority picking and strict carrier SLA chargebacks.</w:t>
            </w:r>
          </w:p>
        </w:tc>
      </w:tr>
      <w:tr>
        <w:tc>
          <w:tcPr>
            <w:tcW w:type="dxa" w:w="1728"/>
            <w:shd w:fill="F1F5F9"/>
            <w:tcMar>
              <w:top w:w="60" w:type="dxa"/>
              <w:bottom w:w="60" w:type="dxa"/>
              <w:left w:w="80" w:type="dxa"/>
              <w:right w:w="80" w:type="dxa"/>
            </w:tcMar>
          </w:tcPr>
          <w:p>
            <w:pPr>
              <w:jc w:val="left"/>
            </w:pPr>
            <w:r>
              <w:rPr>
                <w:color w:val="0F172A"/>
                <w:sz w:val="17"/>
              </w:rPr>
              <w:t>Category (Office Supplies)</w:t>
            </w:r>
          </w:p>
        </w:tc>
        <w:tc>
          <w:tcPr>
            <w:tcW w:type="dxa" w:w="1728"/>
            <w:shd w:fill="F1F5F9"/>
            <w:tcMar>
              <w:top w:w="60" w:type="dxa"/>
              <w:bottom w:w="60" w:type="dxa"/>
              <w:left w:w="80" w:type="dxa"/>
              <w:right w:w="80" w:type="dxa"/>
            </w:tcMar>
          </w:tcPr>
          <w:p>
            <w:pPr>
              <w:jc w:val="center"/>
            </w:pPr>
            <w:r>
              <w:rPr>
                <w:color w:val="0F172A"/>
                <w:sz w:val="17"/>
              </w:rPr>
              <w:t>Logistics Cost Drag</w:t>
            </w:r>
          </w:p>
        </w:tc>
        <w:tc>
          <w:tcPr>
            <w:tcW w:type="dxa" w:w="2016"/>
            <w:shd w:fill="F1F5F9"/>
            <w:tcMar>
              <w:top w:w="60" w:type="dxa"/>
              <w:bottom w:w="60" w:type="dxa"/>
              <w:left w:w="80" w:type="dxa"/>
              <w:right w:w="80" w:type="dxa"/>
            </w:tcMar>
          </w:tcPr>
          <w:p>
            <w:pPr>
              <w:jc w:val="center"/>
            </w:pPr>
            <w:r>
              <w:rPr>
                <w:color w:val="0F172A"/>
                <w:sz w:val="17"/>
              </w:rPr>
              <w:t>Shipping spend accounts for 78.73% of gross category sales</w:t>
            </w:r>
          </w:p>
        </w:tc>
        <w:tc>
          <w:tcPr>
            <w:tcW w:type="dxa" w:w="2016"/>
            <w:shd w:fill="F1F5F9"/>
            <w:tcMar>
              <w:top w:w="60" w:type="dxa"/>
              <w:bottom w:w="60" w:type="dxa"/>
              <w:left w:w="80" w:type="dxa"/>
              <w:right w:w="80" w:type="dxa"/>
            </w:tcMar>
          </w:tcPr>
          <w:p>
            <w:pPr>
              <w:jc w:val="center"/>
            </w:pPr>
            <w:r>
              <w:rPr>
                <w:color w:val="0F172A"/>
                <w:sz w:val="17"/>
              </w:rPr>
              <w:t>Complete erosion of gross margins; unprofitable fulfillment.</w:t>
            </w:r>
          </w:p>
        </w:tc>
        <w:tc>
          <w:tcPr>
            <w:tcW w:type="dxa" w:w="1872"/>
            <w:shd w:fill="F1F5F9"/>
            <w:tcMar>
              <w:top w:w="60" w:type="dxa"/>
              <w:bottom w:w="60" w:type="dxa"/>
              <w:left w:w="80" w:type="dxa"/>
              <w:right w:w="80" w:type="dxa"/>
            </w:tcMar>
          </w:tcPr>
          <w:p>
            <w:pPr>
              <w:jc w:val="center"/>
            </w:pPr>
            <w:r>
              <w:rPr>
                <w:color w:val="0F172A"/>
                <w:sz w:val="17"/>
              </w:rPr>
              <w:t>Enforce minimum order values ($50) and optimize carton packaging.</w:t>
            </w:r>
          </w:p>
        </w:tc>
      </w:tr>
      <w:tr>
        <w:tc>
          <w:tcPr>
            <w:tcW w:type="dxa" w:w="1728"/>
            <w:shd w:fill="FFFFFF"/>
            <w:tcMar>
              <w:top w:w="60" w:type="dxa"/>
              <w:bottom w:w="60" w:type="dxa"/>
              <w:left w:w="80" w:type="dxa"/>
              <w:right w:w="80" w:type="dxa"/>
            </w:tcMar>
          </w:tcPr>
          <w:p>
            <w:pPr>
              <w:jc w:val="left"/>
            </w:pPr>
            <w:r>
              <w:rPr>
                <w:color w:val="0F172A"/>
                <w:sz w:val="17"/>
              </w:rPr>
              <w:t>Hub (WH-South)</w:t>
            </w:r>
          </w:p>
        </w:tc>
        <w:tc>
          <w:tcPr>
            <w:tcW w:type="dxa" w:w="1728"/>
            <w:shd w:fill="FFFFFF"/>
            <w:tcMar>
              <w:top w:w="60" w:type="dxa"/>
              <w:bottom w:w="60" w:type="dxa"/>
              <w:left w:w="80" w:type="dxa"/>
              <w:right w:w="80" w:type="dxa"/>
            </w:tcMar>
          </w:tcPr>
          <w:p>
            <w:pPr>
              <w:jc w:val="center"/>
            </w:pPr>
            <w:r>
              <w:rPr>
                <w:color w:val="0F172A"/>
                <w:sz w:val="17"/>
              </w:rPr>
              <w:t>Dispatch Dwell Time</w:t>
            </w:r>
          </w:p>
        </w:tc>
        <w:tc>
          <w:tcPr>
            <w:tcW w:type="dxa" w:w="2016"/>
            <w:shd w:fill="FFFFFF"/>
            <w:tcMar>
              <w:top w:w="60" w:type="dxa"/>
              <w:bottom w:w="60" w:type="dxa"/>
              <w:left w:w="80" w:type="dxa"/>
              <w:right w:w="80" w:type="dxa"/>
            </w:tcMar>
          </w:tcPr>
          <w:p>
            <w:pPr>
              <w:jc w:val="center"/>
            </w:pPr>
            <w:r>
              <w:rPr>
                <w:color w:val="0F172A"/>
                <w:sz w:val="17"/>
              </w:rPr>
              <w:t>2.52 days avg processing time; 75.4% delay rate</w:t>
            </w:r>
          </w:p>
        </w:tc>
        <w:tc>
          <w:tcPr>
            <w:tcW w:type="dxa" w:w="2016"/>
            <w:shd w:fill="FFFFFF"/>
            <w:tcMar>
              <w:top w:w="60" w:type="dxa"/>
              <w:bottom w:w="60" w:type="dxa"/>
              <w:left w:w="80" w:type="dxa"/>
              <w:right w:w="80" w:type="dxa"/>
            </w:tcMar>
          </w:tcPr>
          <w:p>
            <w:pPr>
              <w:jc w:val="center"/>
            </w:pPr>
            <w:r>
              <w:rPr>
                <w:color w:val="0F172A"/>
                <w:sz w:val="17"/>
              </w:rPr>
              <w:t>Staging and picking delays eat into carrier transit buffers.</w:t>
            </w:r>
          </w:p>
        </w:tc>
        <w:tc>
          <w:tcPr>
            <w:tcW w:type="dxa" w:w="1872"/>
            <w:shd w:fill="FFFFFF"/>
            <w:tcMar>
              <w:top w:w="60" w:type="dxa"/>
              <w:bottom w:w="60" w:type="dxa"/>
              <w:left w:w="80" w:type="dxa"/>
              <w:right w:w="80" w:type="dxa"/>
            </w:tcMar>
          </w:tcPr>
          <w:p>
            <w:pPr>
              <w:jc w:val="center"/>
            </w:pPr>
            <w:r>
              <w:rPr>
                <w:color w:val="0F172A"/>
                <w:sz w:val="17"/>
              </w:rPr>
              <w:t>Implement automated wave-picking and enforce same-day dispatch cutoffs.</w:t>
            </w:r>
          </w:p>
        </w:tc>
      </w:tr>
    </w:tbl>
    <w:p>
      <w:pPr>
        <w:spacing w:after="160"/>
      </w:pPr>
    </w:p>
    <w:p>
      <w:pPr>
        <w:pStyle w:val="Heading1"/>
        <w:keepNext/>
        <w:spacing w:before="360" w:after="120"/>
      </w:pPr>
      <w:r>
        <w:rPr>
          <w:rFonts w:ascii="Segoe UI Semibold" w:hAnsi="Segoe UI Semibold"/>
          <w:b/>
          <w:color w:val="1E3A8A"/>
          <w:sz w:val="32"/>
        </w:rPr>
        <w:t>21. Strategic Recommendations</w:t>
      </w:r>
    </w:p>
    <w:p>
      <w:pPr>
        <w:pStyle w:val="ListBullet"/>
        <w:spacing w:after="60" w:line="276" w:lineRule="auto"/>
      </w:pPr>
      <w:r>
        <w:rPr>
          <w:b/>
          <w:color w:val="1E3A8A"/>
          <w:sz w:val="20"/>
        </w:rPr>
        <w:t xml:space="preserve">Phase 1: Immediate (0–3 Months): </w:t>
      </w:r>
      <w:r>
        <w:rPr>
          <w:sz w:val="20"/>
        </w:rPr>
        <w:t>Institute carrier SLA penalty chargebacks, implement WMS 12-hour dispatch cutoffs, and mandate minimum order thresholds ($50) for Office Supplies.</w:t>
      </w:r>
    </w:p>
    <w:p>
      <w:pPr>
        <w:pStyle w:val="ListBullet"/>
        <w:spacing w:after="60" w:line="276" w:lineRule="auto"/>
      </w:pPr>
      <w:r>
        <w:rPr>
          <w:b/>
          <w:color w:val="1E3A8A"/>
          <w:sz w:val="20"/>
        </w:rPr>
        <w:t xml:space="preserve">Phase 2: Medium-Term (3–6 Months): </w:t>
      </w:r>
      <w:r>
        <w:rPr>
          <w:sz w:val="20"/>
        </w:rPr>
        <w:t>Deploy regional cross-docking forward hubs in Dallas and Phoenix, implement automated 3D cartonization software, and deploy dynamic checkout EDD algorithms.</w:t>
      </w:r>
    </w:p>
    <w:p>
      <w:pPr>
        <w:pStyle w:val="ListBullet"/>
        <w:spacing w:after="60" w:line="276" w:lineRule="auto"/>
      </w:pPr>
      <w:r>
        <w:rPr>
          <w:b/>
          <w:color w:val="1E3A8A"/>
          <w:sz w:val="20"/>
        </w:rPr>
        <w:t xml:space="preserve">Phase 3: Long-Term (6–12 Months): </w:t>
      </w:r>
      <w:r>
        <w:rPr>
          <w:sz w:val="20"/>
        </w:rPr>
        <w:t>Build machine learning predictive delay classification engines and deploy a centralized IoT supply chain control tower.</w:t>
      </w:r>
    </w:p>
    <w:p>
      <w:pPr>
        <w:pStyle w:val="Heading1"/>
        <w:keepNext/>
        <w:spacing w:before="360" w:after="120"/>
      </w:pPr>
      <w:r>
        <w:rPr>
          <w:rFonts w:ascii="Segoe UI Semibold" w:hAnsi="Segoe UI Semibold"/>
          <w:b/>
          <w:color w:val="1E3A8A"/>
          <w:sz w:val="32"/>
        </w:rPr>
        <w:t>22. Business Impact</w:t>
      </w:r>
    </w:p>
    <w:p>
      <w:pPr>
        <w:spacing w:after="120" w:line="276" w:lineRule="auto"/>
      </w:pPr>
      <w:r>
        <w:rPr>
          <w:rFonts w:ascii="Segoe UI" w:hAnsi="Segoe UI"/>
          <w:i w:val="0"/>
          <w:sz w:val="20"/>
        </w:rPr>
        <w:t>Execution of these data-driven recommendations will improve the network on-time delivery rate from 28.24% to &gt;85.00%, reduce delay rates to &lt;15.00%, eliminate $45k in annual customer support friction, and restore category profitability for Office Supplies.</w:t>
      </w:r>
    </w:p>
    <w:p>
      <w:pPr>
        <w:pStyle w:val="Heading1"/>
        <w:keepNext/>
        <w:spacing w:before="360" w:after="120"/>
      </w:pPr>
      <w:r>
        <w:rPr>
          <w:rFonts w:ascii="Segoe UI Semibold" w:hAnsi="Segoe UI Semibold"/>
          <w:b/>
          <w:color w:val="1E3A8A"/>
          <w:sz w:val="32"/>
        </w:rPr>
        <w:t>23. Future Data Science Applications</w:t>
      </w:r>
    </w:p>
    <w:p>
      <w:pPr>
        <w:spacing w:after="120" w:line="276" w:lineRule="auto"/>
      </w:pPr>
      <w:r>
        <w:rPr>
          <w:rFonts w:ascii="Segoe UI" w:hAnsi="Segoe UI"/>
          <w:i w:val="0"/>
          <w:sz w:val="20"/>
        </w:rPr>
        <w:t>The exploratory findings established by Ajay M provide a direct launching pad for advanced predictive modeling, including supervised XGBoost binary delay classifiers, continuous freight cost regression forecasting, customer spatial clustering, and Mixed-Integer Linear Programming facility location models.</w:t>
      </w:r>
    </w:p>
    <w:p>
      <w:pPr>
        <w:pStyle w:val="Heading1"/>
        <w:keepNext/>
        <w:spacing w:before="360" w:after="120"/>
      </w:pPr>
      <w:r>
        <w:rPr>
          <w:rFonts w:ascii="Segoe UI Semibold" w:hAnsi="Segoe UI Semibold"/>
          <w:b/>
          <w:color w:val="1E3A8A"/>
          <w:sz w:val="32"/>
        </w:rPr>
        <w:t>24. Challenges and Limitations</w:t>
      </w:r>
    </w:p>
    <w:p>
      <w:pPr>
        <w:spacing w:after="120" w:line="276" w:lineRule="auto"/>
      </w:pPr>
      <w:r>
        <w:rPr>
          <w:rFonts w:ascii="Segoe UI" w:hAnsi="Segoe UI"/>
          <w:i w:val="0"/>
          <w:sz w:val="20"/>
        </w:rPr>
        <w:t>Key analytical limitations include the absence of intermediate IoT milestone scans between dispatch and delivery, historical rate card pricing dampening spot-market volatility, and synthetic data preprocessing constraints.</w:t>
      </w:r>
    </w:p>
    <w:p>
      <w:pPr>
        <w:pStyle w:val="Heading1"/>
        <w:keepNext/>
        <w:spacing w:before="360" w:after="120"/>
      </w:pPr>
      <w:r>
        <w:rPr>
          <w:rFonts w:ascii="Segoe UI Semibold" w:hAnsi="Segoe UI Semibold"/>
          <w:b/>
          <w:color w:val="1E3A8A"/>
          <w:sz w:val="32"/>
        </w:rPr>
        <w:t>25. Reflection</w:t>
      </w:r>
    </w:p>
    <w:p>
      <w:pPr>
        <w:spacing w:after="120" w:line="276" w:lineRule="auto"/>
      </w:pPr>
      <w:r>
        <w:rPr>
          <w:rFonts w:ascii="Segoe UI" w:hAnsi="Segoe UI"/>
          <w:i w:val="0"/>
          <w:sz w:val="20"/>
        </w:rPr>
        <w:t>Completing the Week 3 analytics project provided invaluable practical insights for Ajay M. The project demonstrated that rigorous exploratory data analysis—analyzing trimmed means, quartile spreads, and multi-modal probability density shapes—uncovers operational mechanics that raw summaries obscure. Visualizations bridged raw metrics with executive business strategy, highlighting how diagnostic analytics forms the indispensable foundation for machine learning.</w:t>
      </w:r>
    </w:p>
    <w:p>
      <w:pPr>
        <w:pStyle w:val="Heading1"/>
        <w:keepNext/>
        <w:spacing w:before="360" w:after="120"/>
      </w:pPr>
      <w:r>
        <w:rPr>
          <w:rFonts w:ascii="Segoe UI Semibold" w:hAnsi="Segoe UI Semibold"/>
          <w:b/>
          <w:color w:val="1E3A8A"/>
          <w:sz w:val="32"/>
        </w:rPr>
        <w:t>26. Conclusion</w:t>
      </w:r>
    </w:p>
    <w:p>
      <w:pPr>
        <w:spacing w:after="120" w:line="276" w:lineRule="auto"/>
      </w:pPr>
      <w:r>
        <w:rPr>
          <w:rFonts w:ascii="Segoe UI" w:hAnsi="Segoe UI"/>
          <w:i w:val="0"/>
          <w:sz w:val="20"/>
        </w:rPr>
        <w:t>The Week 3: Advanced Data Analysis and Visualization in Logistics capstone project successfully delivered an end-to-end, reproducible, and mathematically rigorous analytics workflow. By diagnosing systemic fulfillment delays, expedited SLA fragility, and category margin drag, Ajay M has established an actionable roadmap to optimize corporate logistics performance.</w:t>
      </w:r>
    </w:p>
    <w:p>
      <w:pPr>
        <w:pStyle w:val="Heading1"/>
        <w:keepNext/>
        <w:spacing w:before="360" w:after="120"/>
      </w:pPr>
      <w:r>
        <w:rPr>
          <w:rFonts w:ascii="Segoe UI Semibold" w:hAnsi="Segoe UI Semibold"/>
          <w:b/>
          <w:color w:val="1E3A8A"/>
          <w:sz w:val="32"/>
        </w:rPr>
        <w:t>27. References</w:t>
      </w:r>
    </w:p>
    <w:p>
      <w:pPr>
        <w:pStyle w:val="ListBullet"/>
        <w:spacing w:after="60" w:line="276" w:lineRule="auto"/>
      </w:pPr>
      <w:r>
        <w:rPr>
          <w:b/>
          <w:color w:val="1E3A8A"/>
          <w:sz w:val="20"/>
        </w:rPr>
        <w:t xml:space="preserve">1. </w:t>
      </w:r>
      <w:r>
        <w:rPr>
          <w:sz w:val="20"/>
        </w:rPr>
        <w:t>Chopra, S., &amp; Meindl, P. (2016). Supply Chain Management: Strategy, Planning, and Operation (6th ed.). Pearson.</w:t>
      </w:r>
    </w:p>
    <w:p>
      <w:pPr>
        <w:pStyle w:val="ListBullet"/>
        <w:spacing w:after="60" w:line="276" w:lineRule="auto"/>
      </w:pPr>
      <w:r>
        <w:rPr>
          <w:b/>
          <w:color w:val="1E3A8A"/>
          <w:sz w:val="20"/>
        </w:rPr>
        <w:t xml:space="preserve">2. </w:t>
      </w:r>
      <w:r>
        <w:rPr>
          <w:sz w:val="20"/>
        </w:rPr>
        <w:t>Christopher, M. (2016). Logistics &amp; Supply Chain Management (5th ed.). Financial Times Publishing.</w:t>
      </w:r>
    </w:p>
    <w:p>
      <w:pPr>
        <w:pStyle w:val="ListBullet"/>
        <w:spacing w:after="60" w:line="276" w:lineRule="auto"/>
      </w:pPr>
      <w:r>
        <w:rPr>
          <w:b/>
          <w:color w:val="1E3A8A"/>
          <w:sz w:val="20"/>
        </w:rPr>
        <w:t xml:space="preserve">3. </w:t>
      </w:r>
      <w:r>
        <w:rPr>
          <w:sz w:val="20"/>
        </w:rPr>
        <w:t>McKinney, W. (2022). Python for Data Analysis: Data Wrangling with Pandas, NumPy, and Jupyter (3rd ed.). O'Reilly Media.</w:t>
      </w:r>
    </w:p>
    <w:p>
      <w:pPr>
        <w:pStyle w:val="ListBullet"/>
        <w:spacing w:after="60" w:line="276" w:lineRule="auto"/>
      </w:pPr>
      <w:r>
        <w:rPr>
          <w:b/>
          <w:color w:val="1E3A8A"/>
          <w:sz w:val="20"/>
        </w:rPr>
        <w:t xml:space="preserve">4. </w:t>
      </w:r>
      <w:r>
        <w:rPr>
          <w:sz w:val="20"/>
        </w:rPr>
        <w:t>Tukey, J. W. (1977). Exploratory Data Analysis. Addison-Wesley.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Confidential — Logistics Analytics &amp; Academic Project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Week 3: Advanced Data Analysis and Visualization in Logistics | Ajay 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