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200"/>
        <w:jc w:val="center"/>
      </w:pPr>
      <w:r>
        <w:rPr>
          <w:b/>
          <w:bCs/>
          <w:sz w:val="56"/>
          <w:szCs w:val="56"/>
        </w:rPr>
        <w:t xml:space="preserve">ReflectAI (Equoria)</w:t>
      </w:r>
    </w:p>
    <w:p>
      <w:pPr>
        <w:spacing w:after="100"/>
        <w:jc w:val="center"/>
      </w:pPr>
      <w:r>
        <w:rPr>
          <w:b/>
          <w:bCs/>
          <w:color w:val="444444"/>
          <w:sz w:val="36"/>
          <w:szCs w:val="36"/>
        </w:rPr>
        <w:t xml:space="preserve">Phase 2 — Threat Model</w:t>
      </w:r>
    </w:p>
    <w:p>
      <w:pPr>
        <w:spacing w:after="80"/>
        <w:jc w:val="center"/>
      </w:pPr>
      <w:r>
        <w:rPr>
          <w:i/>
          <w:iCs/>
          <w:color w:val="666666"/>
          <w:sz w:val="22"/>
          <w:szCs w:val="22"/>
        </w:rPr>
        <w:t xml:space="preserve">Asset inventory, attacker profiles, and a steal / modify / delete / misuse analysis</w:t>
      </w:r>
    </w:p>
    <w:p>
      <w:pPr>
        <w:spacing w:before="1000"/>
      </w:pPr>
    </w:p>
    <w:p>
      <w:pPr>
        <w:spacing w:after="160" w:line="276"/>
      </w:pPr>
      <w:r>
        <w:rPr>
          <w:b/>
          <w:bCs/>
        </w:rPr>
        <w:t xml:space="preserve">Repository: </w:t>
      </w:r>
      <w:r>
        <w:t xml:space="preserve">reflect-ai (client: React/Vite, server: Node/Express/MongoDB)</w:t>
      </w:r>
    </w:p>
    <w:p>
      <w:pPr>
        <w:spacing w:after="160" w:line="276"/>
      </w:pPr>
      <w:r>
        <w:rPr>
          <w:b/>
          <w:bCs/>
        </w:rPr>
        <w:t xml:space="preserve">Companion document: </w:t>
      </w:r>
      <w:r>
        <w:t xml:space="preserve">Phase 1 — Read-Only Security Audit Report (security-audit-report.docx)</w:t>
      </w:r>
    </w:p>
    <w:p>
      <w:pPr>
        <w:spacing w:after="160" w:line="276"/>
      </w:pPr>
      <w:r>
        <w:rPr>
          <w:b/>
          <w:bCs/>
        </w:rPr>
        <w:t xml:space="preserve">Review date: </w:t>
      </w:r>
      <w:r>
        <w:t xml:space="preserve">2026-08-01</w:t>
      </w:r>
    </w:p>
    <w:p>
      <w:pPr>
        <w:spacing w:after="160" w:line="276"/>
      </w:pPr>
      <w:r>
        <w:rPr>
          <w:b/>
          <w:bCs/>
        </w:rPr>
        <w:t xml:space="preserve">Method: </w:t>
      </w:r>
      <w:r>
        <w:t xml:space="preserve">Manual, code-grounded threat modeling (asset-centric, informal STRIDE + misuse-case analysis). No live testing performed.</w:t>
      </w:r>
    </w:p>
    <w:p>
      <w:r>
        <w:br w:type="page"/>
      </w:r>
    </w:p>
    <w:p>
      <w:pPr>
        <w:pStyle w:val="Heading1"/>
        <w:spacing w:after="200" w:before="400"/>
      </w:pPr>
      <w:r>
        <w:t xml:space="preserve">0. Purpose &amp; How to Read This Document</w:t>
      </w:r>
    </w:p>
    <w:p>
      <w:pPr>
        <w:spacing w:after="160" w:line="276"/>
      </w:pPr>
      <w:r>
        <w:t xml:space="preserve">Phase 1 produced findings organized by system area (auth, API, database, AI, etc.). Phase 2 re-organizes the same codebase around what is actually worth protecting. For each of 12 assets, this document asks four fixed questions — how could someone steal it, modify it, delete it, and misuse it — and answers each with a concrete vector grounded in the actual code, the attacker type(s) capable of it, the control currently in place (if any), and the residual risk left over.</w:t>
      </w:r>
    </w:p>
    <w:p>
      <w:pPr>
        <w:spacing w:after="160" w:line="276"/>
      </w:pPr>
      <w:r>
        <w:t xml:space="preserve">Section 1 defines the 12 assets. Section 2 profiles the 10 attacker types requested, so the matrix in Section 3 can reference them by name rather than re-describing capability every time. Section 4 synthesizes the cross-cutting patterns that don't belong to any single asset. Section 5 is a one-page ratings summary.</w:t>
      </w:r>
    </w:p>
    <w:p>
      <w:pPr>
        <w:pStyle w:val="Heading1"/>
        <w:spacing w:after="200" w:before="400"/>
      </w:pPr>
      <w:r>
        <w:t xml:space="preserve">1. Asset Inventory</w:t>
      </w:r>
    </w:p>
    <w:p>
      <w:pPr>
        <w:spacing w:after="160" w:line="276"/>
      </w:pPr>
      <w:r>
        <w:rPr>
          <w:b/>
          <w:bCs/>
        </w:rPr>
        <w:t xml:space="preserve">1. User accounts — </w:t>
      </w:r>
      <w:r>
        <w:t xml:space="preserve">User document (name, email, passwordHash) — the identity anchor for every other asset in this list.</w:t>
      </w:r>
    </w:p>
    <w:p>
      <w:pPr>
        <w:spacing w:after="160" w:line="276"/>
      </w:pPr>
      <w:r>
        <w:rPr>
          <w:b/>
          <w:bCs/>
        </w:rPr>
        <w:t xml:space="preserve">2. Passwords — </w:t>
      </w:r>
      <w:r>
        <w:t xml:space="preserve">The bcrypt hash stored on the User document, and the plaintext value in transit at registration/login.</w:t>
      </w:r>
    </w:p>
    <w:p>
      <w:pPr>
        <w:spacing w:after="160" w:line="276"/>
      </w:pPr>
      <w:r>
        <w:rPr>
          <w:b/>
          <w:bCs/>
        </w:rPr>
        <w:t xml:space="preserve">3. JWTs — </w:t>
      </w:r>
      <w:r>
        <w:t xml:space="preserve">The signed bearer token (7-day expiry, HS256, signed with JWT_SECRET) that stands in for the user on every subsequent request.</w:t>
      </w:r>
    </w:p>
    <w:p>
      <w:pPr>
        <w:spacing w:after="160" w:line="276"/>
      </w:pPr>
      <w:r>
        <w:rPr>
          <w:b/>
          <w:bCs/>
        </w:rPr>
        <w:t xml:space="preserve">4. Journal entries — </w:t>
      </w:r>
      <w:r>
        <w:t xml:space="preserve">Free-text content + mood tag, the core product data and the evidentiary basis for every AI insight.</w:t>
      </w:r>
    </w:p>
    <w:p>
      <w:pPr>
        <w:spacing w:after="160" w:line="276"/>
      </w:pPr>
      <w:r>
        <w:rPr>
          <w:b/>
          <w:bCs/>
        </w:rPr>
        <w:t xml:space="preserve">5. Health data — </w:t>
      </w:r>
      <w:r>
        <w:t xml:space="preserve">Steps, sleep, stress score, resting heart rate — currently seed-only, read via the Health and Dashboard pages.</w:t>
      </w:r>
    </w:p>
    <w:p>
      <w:pPr>
        <w:spacing w:after="160" w:line="276"/>
      </w:pPr>
      <w:r>
        <w:rPr>
          <w:b/>
          <w:bCs/>
        </w:rPr>
        <w:t xml:space="preserve">6. Chat history — </w:t>
      </w:r>
      <w:r>
        <w:t xml:space="preserve">The ChatSession document — every user message and AI response, persisted per user.</w:t>
      </w:r>
    </w:p>
    <w:p>
      <w:pPr>
        <w:spacing w:after="160" w:line="276"/>
      </w:pPr>
      <w:r>
        <w:rPr>
          <w:b/>
          <w:bCs/>
        </w:rPr>
        <w:t xml:space="preserve">7. Audit logs — </w:t>
      </w:r>
      <w:r>
        <w:t xml:space="preserve">The AuditLog collection — the compliance trail behind every chat turn (evidence IDs, policy decisions, confidence).</w:t>
      </w:r>
    </w:p>
    <w:p>
      <w:pPr>
        <w:spacing w:after="160" w:line="276"/>
      </w:pPr>
      <w:r>
        <w:rPr>
          <w:b/>
          <w:bCs/>
        </w:rPr>
        <w:t xml:space="preserve">8. AI prompts — </w:t>
      </w:r>
      <w:r>
        <w:t xml:space="preserve">The constructed prompt text (system rules + context + user message) sent to Ollama/OpenAI/Gemini on every chat turn.</w:t>
      </w:r>
    </w:p>
    <w:p>
      <w:pPr>
        <w:spacing w:after="160" w:line="276"/>
      </w:pPr>
      <w:r>
        <w:rPr>
          <w:b/>
          <w:bCs/>
        </w:rPr>
        <w:t xml:space="preserve">9. Environment variables — </w:t>
      </w:r>
      <w:r>
        <w:t xml:space="preserve">JWT_SECRET, MONGO_URI, OPENAI_API_KEY, GEMINI_API_KEY, CLIENT_URL, DEMO_PASSWORD, and related config.</w:t>
      </w:r>
    </w:p>
    <w:p>
      <w:pPr>
        <w:spacing w:after="160" w:line="276"/>
      </w:pPr>
      <w:r>
        <w:rPr>
          <w:b/>
          <w:bCs/>
        </w:rPr>
        <w:t xml:space="preserve">10. MongoDB — </w:t>
      </w:r>
      <w:r>
        <w:t xml:space="preserve">The datastore itself — every collection, reachable via a single MONGO_URI credential.</w:t>
      </w:r>
    </w:p>
    <w:p>
      <w:pPr>
        <w:spacing w:after="160" w:line="276"/>
      </w:pPr>
      <w:r>
        <w:rPr>
          <w:b/>
          <w:bCs/>
        </w:rPr>
        <w:t xml:space="preserve">11. Ollama endpoint — </w:t>
      </w:r>
      <w:r>
        <w:t xml:space="preserve">The local LLM inference service (default http://127.0.0.1:11434) used as the first-choice model.</w:t>
      </w:r>
    </w:p>
    <w:p>
      <w:pPr>
        <w:spacing w:after="160" w:line="276"/>
      </w:pPr>
      <w:r>
        <w:rPr>
          <w:b/>
          <w:bCs/>
        </w:rPr>
        <w:t xml:space="preserve">12. Cloud AI keys — </w:t>
      </w:r>
      <w:r>
        <w:t xml:space="preserve">OPENAI_API_KEY / GEMINI_API_KEY — credentials for the fallback cloud LLM path.</w:t>
      </w:r>
    </w:p>
    <w:p>
      <w:r>
        <w:br w:type="page"/>
      </w:r>
    </w:p>
    <w:p>
      <w:pPr>
        <w:pStyle w:val="Heading1"/>
        <w:spacing w:after="200" w:before="400"/>
      </w:pPr>
      <w:r>
        <w:t xml:space="preserve">2. Attacker Profiles</w:t>
      </w:r>
    </w:p>
    <w:p>
      <w:pPr>
        <w:spacing w:after="160" w:line="276"/>
      </w:pPr>
      <w:r>
        <w:rPr>
          <w:b/>
          <w:bCs/>
        </w:rPr>
        <w:t xml:space="preserve">Anonymous attacker. </w:t>
      </w:r>
      <w:r>
        <w:t xml:space="preserve">No credentials, internet-facing only. Reachable surface: POST /api/auth/register, POST /api/auth/login, GET /api/health. Primary interest: credential stuffing and brute force against login (unthrottled, F-01), and account enumeration via register's distinct 409 response (F-04).</w:t>
      </w:r>
    </w:p>
    <w:p>
      <w:pPr>
        <w:spacing w:after="160" w:line="276"/>
      </w:pPr>
      <w:r>
        <w:rPr>
          <w:b/>
          <w:bCs/>
        </w:rPr>
        <w:t xml:space="preserve">Logged-in malicious user. </w:t>
      </w:r>
      <w:r>
        <w:t xml:space="preserve">Holds one legitimate, self-registered account. Primary interest: probing for IDOR against other users' data (found well-mitigated — every query is scoped to req.user._id), exhausting the chat rate limit, or misusing their own account (e.g. a shared/family device scenario where the account holder isn't the only person with access to it).</w:t>
      </w:r>
    </w:p>
    <w:p>
      <w:pPr>
        <w:spacing w:after="160" w:line="276"/>
      </w:pPr>
      <w:r>
        <w:rPr>
          <w:b/>
          <w:bCs/>
        </w:rPr>
        <w:t xml:space="preserve">Stolen JWT holder. </w:t>
      </w:r>
      <w:r>
        <w:t xml:space="preserve">Has obtained another user's valid bearer token (XSS, device theft, shared computer, accidental log/URL leakage). Has full API access as that user for up to 7 days — there is no server-side revocation list, so logging out client-side does not end the attacker's access.</w:t>
      </w:r>
    </w:p>
    <w:p>
      <w:pPr>
        <w:spacing w:after="160" w:line="276"/>
      </w:pPr>
      <w:r>
        <w:rPr>
          <w:b/>
          <w:bCs/>
        </w:rPr>
        <w:t xml:space="preserve">Prompt injection attacker. </w:t>
      </w:r>
      <w:r>
        <w:t xml:space="preserve">A user (or content they control) crafts journal entries or chat messages specifically to manipulate the LLM prompt that generateInsight() builds — e.g. trying to override the 'never diagnose' rule or extract the system prompt. Constrained by the deterministic verifyInsight/scrubHealthReferences gates, not eliminated by them.</w:t>
      </w:r>
    </w:p>
    <w:p>
      <w:pPr>
        <w:spacing w:after="160" w:line="276"/>
      </w:pPr>
      <w:r>
        <w:rPr>
          <w:b/>
          <w:bCs/>
        </w:rPr>
        <w:t xml:space="preserve">Database attacker. </w:t>
      </w:r>
      <w:r>
        <w:t xml:space="preserve">Has obtained direct MongoDB access — via a leaked MONGO_URI, an exposed/unauthenticated instance, or a mishandled backup. Bypasses every application-layer control at once and can read/write/delete across all users simultaneously — the highest blast-radius actor in this model.</w:t>
      </w:r>
    </w:p>
    <w:p>
      <w:pPr>
        <w:spacing w:after="160" w:line="276"/>
      </w:pPr>
      <w:r>
        <w:rPr>
          <w:b/>
          <w:bCs/>
        </w:rPr>
        <w:t xml:space="preserve">API spammer. </w:t>
      </w:r>
      <w:r>
        <w:t xml:space="preserve">Automates high-volume requests. Constrained on POST /api/chat/message (30 requests / 15 min per user), unconstrained on /api/auth/register and /api/auth/login — can create unlimited fake accounts or brute-force at high volume against login.</w:t>
      </w:r>
    </w:p>
    <w:p>
      <w:pPr>
        <w:spacing w:after="160" w:line="276"/>
      </w:pPr>
      <w:r>
        <w:rPr>
          <w:b/>
          <w:bCs/>
        </w:rPr>
        <w:t xml:space="preserve">XSS attacker. </w:t>
      </w:r>
      <w:r>
        <w:t xml:space="preserve">Would first need an injection point; none was found in this review (no dangerouslySetInnerHTML, React's default escaping intact). If one were introduced later, the payoff is high because the auth token lives in localStorage rather than an httpOnly cookie — a successful XSS is a full session takeover, not just page defacement.</w:t>
      </w:r>
    </w:p>
    <w:p>
      <w:pPr>
        <w:spacing w:after="160" w:line="276"/>
      </w:pPr>
      <w:r>
        <w:rPr>
          <w:b/>
          <w:bCs/>
        </w:rPr>
        <w:t xml:space="preserve">CSRF attacker. </w:t>
      </w:r>
      <w:r>
        <w:t xml:space="preserve">Structurally weak position: the app authenticates via an Authorization: Bearer header that browsers never attach automatically, so there is no ambient-credential cookie for a forged cross-site request to ride on. This attacker class is a non-issue specifically because of that design choice, not by accident.</w:t>
      </w:r>
    </w:p>
    <w:p>
      <w:pPr>
        <w:spacing w:after="160" w:line="276"/>
      </w:pPr>
      <w:r>
        <w:rPr>
          <w:b/>
          <w:bCs/>
        </w:rPr>
        <w:t xml:space="preserve">Insider / admin. </w:t>
      </w:r>
      <w:r>
        <w:t xml:space="preserve">Someone with legitimate operational access — source control, deployment, environment variables, or the database itself. The app has no in-product admin role at all (a single implicit user role exists), so 'insider' here means infrastructure-level access, not an app-level admin account. Represents the highest-trust, highest-impact actor across nearly every asset.</w:t>
      </w:r>
    </w:p>
    <w:p>
      <w:pPr>
        <w:spacing w:after="160" w:line="276"/>
      </w:pPr>
      <w:r>
        <w:rPr>
          <w:b/>
          <w:bCs/>
        </w:rPr>
        <w:t xml:space="preserve">AI jailbreak attempts. </w:t>
      </w:r>
      <w:r>
        <w:t xml:space="preserve">Overlaps with the prompt injection attacker but targets the model's instruction-following specifically — trying to get it to ignore the 'never diagnose / never prescribe / never give medical advice' rules embedded in the prompt. Partially contained by the deterministic accept/reject gate (verifyInsight), but that gate trusts the model's self-reported confidence score and only scrubs a fixed list of health keywords — a jailbreak that avoids those exact words and produces a plausible confidence number can still pass.</w:t>
      </w:r>
    </w:p>
    <w:p>
      <w:r>
        <w:br w:type="page"/>
      </w:r>
    </w:p>
    <w:p>
      <w:pPr>
        <w:pStyle w:val="Heading1"/>
        <w:spacing w:after="200" w:before="400"/>
      </w:pPr>
      <w:r>
        <w:t xml:space="preserve">3. Asset-by-Asset Analysis: Steal / Modify / Delete / Misuse</w:t>
      </w:r>
    </w:p>
    <w:p>
      <w:pPr>
        <w:spacing w:after="160" w:line="276"/>
      </w:pPr>
      <w:r>
        <w:t xml:space="preserve">Each table below answers the same four questions for one asset. "Attacker" names reference the profiles in Section 2.</w:t>
      </w:r>
    </w:p>
    <w:p>
      <w:pPr>
        <w:pStyle w:val="Heading2"/>
        <w:spacing w:after="140" w:before="280"/>
      </w:pPr>
      <w:r>
        <w:t xml:space="preserve">Asset 1 · User accounts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350"/>
        <w:gridCol w:w="2650"/>
        <w:gridCol w:w="2460"/>
      </w:tblGrid>
      <w:tr>
        <w:trPr>
          <w:tblHeader/>
        </w:trPr>
        <w:tc>
          <w:tcPr>
            <w:tcW w:type="dxa" w:w="900"/>
            <w:shd w:fill="D9D9D9" w:val="clear"/>
            <w:tcMar>
              <w:top w:type="dxa" w:w="80"/>
              <w:left w:type="dxa" w:w="100"/>
              <w:bottom w:type="dxa" w:w="80"/>
              <w:right w:type="dxa" w:w="100"/>
            </w:tcMar>
            <w:vAlign w:val="center"/>
          </w:tcPr>
          <w:p>
            <w:r>
              <w:rPr>
                <w:b/>
                <w:bCs/>
                <w:sz w:val="17"/>
                <w:szCs w:val="17"/>
              </w:rPr>
              <w:t xml:space="preserve">Action</w:t>
            </w:r>
          </w:p>
        </w:tc>
        <w:tc>
          <w:tcPr>
            <w:tcW w:type="dxa" w:w="3350"/>
            <w:shd w:fill="D9D9D9" w:val="clear"/>
            <w:tcMar>
              <w:top w:type="dxa" w:w="80"/>
              <w:left w:type="dxa" w:w="100"/>
              <w:bottom w:type="dxa" w:w="80"/>
              <w:right w:type="dxa" w:w="100"/>
            </w:tcMar>
            <w:vAlign w:val="center"/>
          </w:tcPr>
          <w:p>
            <w:r>
              <w:rPr>
                <w:b/>
                <w:bCs/>
                <w:sz w:val="17"/>
                <w:szCs w:val="17"/>
              </w:rPr>
              <w:t xml:space="preserve">Vector &amp; Attacker</w:t>
            </w:r>
          </w:p>
        </w:tc>
        <w:tc>
          <w:tcPr>
            <w:tcW w:type="dxa" w:w="2650"/>
            <w:shd w:fill="D9D9D9" w:val="clear"/>
            <w:tcMar>
              <w:top w:type="dxa" w:w="80"/>
              <w:left w:type="dxa" w:w="100"/>
              <w:bottom w:type="dxa" w:w="80"/>
              <w:right w:type="dxa" w:w="100"/>
            </w:tcMar>
            <w:vAlign w:val="center"/>
          </w:tcPr>
          <w:p>
            <w:r>
              <w:rPr>
                <w:b/>
                <w:bCs/>
                <w:sz w:val="17"/>
                <w:szCs w:val="17"/>
              </w:rPr>
              <w:t xml:space="preserve">Current Control</w:t>
            </w:r>
          </w:p>
        </w:tc>
        <w:tc>
          <w:tcPr>
            <w:tcW w:type="dxa" w:w="2460"/>
            <w:shd w:fill="D9D9D9" w:val="clear"/>
            <w:tcMar>
              <w:top w:type="dxa" w:w="80"/>
              <w:left w:type="dxa" w:w="100"/>
              <w:bottom w:type="dxa" w:w="80"/>
              <w:right w:type="dxa" w:w="100"/>
            </w:tcMar>
            <w:vAlign w:val="center"/>
          </w:tcPr>
          <w:p>
            <w:r>
              <w:rPr>
                <w:b/>
                <w:bCs/>
                <w:sz w:val="17"/>
                <w:szCs w:val="17"/>
              </w:rPr>
              <w:t xml:space="preserve">Residual Risk</w:t>
            </w:r>
          </w:p>
        </w:tc>
      </w:tr>
      <w:tr>
        <w:tc>
          <w:tcPr>
            <w:tcW w:type="dxa" w:w="900"/>
            <w:tcMar>
              <w:top w:type="dxa" w:w="80"/>
              <w:left w:type="dxa" w:w="100"/>
              <w:bottom w:type="dxa" w:w="80"/>
              <w:right w:type="dxa" w:w="100"/>
            </w:tcMar>
            <w:vAlign w:val="center"/>
          </w:tcPr>
          <w:p>
            <w:r>
              <w:rPr>
                <w:b/>
                <w:bCs/>
                <w:sz w:val="17"/>
                <w:szCs w:val="17"/>
              </w:rPr>
              <w:t xml:space="preserve">Steal</w:t>
            </w:r>
          </w:p>
        </w:tc>
        <w:tc>
          <w:tcPr>
            <w:tcW w:type="dxa" w:w="3350"/>
            <w:tcMar>
              <w:top w:type="dxa" w:w="80"/>
              <w:left w:type="dxa" w:w="100"/>
              <w:bottom w:type="dxa" w:w="80"/>
              <w:right w:type="dxa" w:w="100"/>
            </w:tcMar>
            <w:vAlign w:val="center"/>
          </w:tcPr>
          <w:p>
            <w:r>
              <w:rPr>
                <w:b w:val="false"/>
                <w:bCs w:val="false"/>
                <w:sz w:val="17"/>
                <w:szCs w:val="17"/>
              </w:rPr>
              <w:t xml:space="preserve">Credential stuffing / brute force login (Anonymous attacker, API spammer) — no rate limit on POST /api/auth/login. Phishing for credentials (any attacker) — no email verification means a phished credential is immediately usable.</w:t>
            </w:r>
          </w:p>
        </w:tc>
        <w:tc>
          <w:tcPr>
            <w:tcW w:type="dxa" w:w="2650"/>
            <w:tcMar>
              <w:top w:type="dxa" w:w="80"/>
              <w:left w:type="dxa" w:w="100"/>
              <w:bottom w:type="dxa" w:w="80"/>
              <w:right w:type="dxa" w:w="100"/>
            </w:tcMar>
            <w:vAlign w:val="center"/>
          </w:tcPr>
          <w:p>
            <w:r>
              <w:rPr>
                <w:b w:val="false"/>
                <w:bCs w:val="false"/>
                <w:sz w:val="17"/>
                <w:szCs w:val="17"/>
              </w:rPr>
              <w:t xml:space="preserve">bcrypt hashing (cost 10); generic 401 on any login mismatch (no field-level leak).</w:t>
            </w:r>
          </w:p>
        </w:tc>
        <w:tc>
          <w:tcPr>
            <w:tcW w:type="dxa" w:w="2460"/>
            <w:tcMar>
              <w:top w:type="dxa" w:w="80"/>
              <w:left w:type="dxa" w:w="100"/>
              <w:bottom w:type="dxa" w:w="80"/>
              <w:right w:type="dxa" w:w="100"/>
            </w:tcMar>
            <w:vAlign w:val="center"/>
          </w:tcPr>
          <w:p>
            <w:r>
              <w:rPr>
                <w:b w:val="false"/>
                <w:bCs w:val="false"/>
                <w:sz w:val="17"/>
                <w:szCs w:val="17"/>
              </w:rPr>
              <w:t xml:space="preserve">High — unthrottled login is the main gap; see F-01.</w:t>
            </w:r>
          </w:p>
        </w:tc>
      </w:tr>
      <w:tr>
        <w:tc>
          <w:tcPr>
            <w:tcW w:type="dxa" w:w="900"/>
            <w:tcMar>
              <w:top w:type="dxa" w:w="80"/>
              <w:left w:type="dxa" w:w="100"/>
              <w:bottom w:type="dxa" w:w="80"/>
              <w:right w:type="dxa" w:w="100"/>
            </w:tcMar>
            <w:vAlign w:val="center"/>
          </w:tcPr>
          <w:p>
            <w:r>
              <w:rPr>
                <w:b/>
                <w:bCs/>
                <w:sz w:val="17"/>
                <w:szCs w:val="17"/>
              </w:rPr>
              <w:t xml:space="preserve">Modify</w:t>
            </w:r>
          </w:p>
        </w:tc>
        <w:tc>
          <w:tcPr>
            <w:tcW w:type="dxa" w:w="3350"/>
            <w:tcMar>
              <w:top w:type="dxa" w:w="80"/>
              <w:left w:type="dxa" w:w="100"/>
              <w:bottom w:type="dxa" w:w="80"/>
              <w:right w:type="dxa" w:w="100"/>
            </w:tcMar>
            <w:vAlign w:val="center"/>
          </w:tcPr>
          <w:p>
            <w:r>
              <w:rPr>
                <w:b w:val="false"/>
                <w:bCs w:val="false"/>
                <w:sz w:val="17"/>
                <w:szCs w:val="17"/>
              </w:rPr>
              <w:t xml:space="preserve">No PATCH/update-profile endpoint exists at all, so no remote modification path exists for a normal attacker. Only direct DB write (Database attacker, Insider) can change email/passwordHash.</w:t>
            </w:r>
          </w:p>
        </w:tc>
        <w:tc>
          <w:tcPr>
            <w:tcW w:type="dxa" w:w="2650"/>
            <w:tcMar>
              <w:top w:type="dxa" w:w="80"/>
              <w:left w:type="dxa" w:w="100"/>
              <w:bottom w:type="dxa" w:w="80"/>
              <w:right w:type="dxa" w:w="100"/>
            </w:tcMar>
            <w:vAlign w:val="center"/>
          </w:tcPr>
          <w:p>
            <w:r>
              <w:rPr>
                <w:b w:val="false"/>
                <w:bCs w:val="false"/>
                <w:sz w:val="17"/>
                <w:szCs w:val="17"/>
              </w:rPr>
              <w:t xml:space="preserve">Absence of an update endpoint (accidental containment, not a deliberate control).</w:t>
            </w:r>
          </w:p>
        </w:tc>
        <w:tc>
          <w:tcPr>
            <w:tcW w:type="dxa" w:w="2460"/>
            <w:tcMar>
              <w:top w:type="dxa" w:w="80"/>
              <w:left w:type="dxa" w:w="100"/>
              <w:bottom w:type="dxa" w:w="80"/>
              <w:right w:type="dxa" w:w="100"/>
            </w:tcMar>
            <w:vAlign w:val="center"/>
          </w:tcPr>
          <w:p>
            <w:r>
              <w:rPr>
                <w:b w:val="false"/>
                <w:bCs w:val="false"/>
                <w:sz w:val="17"/>
                <w:szCs w:val="17"/>
              </w:rPr>
              <w:t xml:space="preserve">Low remotely; High if DB access is obtained — no defense once inside Mongo.</w:t>
            </w:r>
          </w:p>
        </w:tc>
      </w:tr>
      <w:tr>
        <w:tc>
          <w:tcPr>
            <w:tcW w:type="dxa" w:w="900"/>
            <w:tcMar>
              <w:top w:type="dxa" w:w="80"/>
              <w:left w:type="dxa" w:w="100"/>
              <w:bottom w:type="dxa" w:w="80"/>
              <w:right w:type="dxa" w:w="100"/>
            </w:tcMar>
            <w:vAlign w:val="center"/>
          </w:tcPr>
          <w:p>
            <w:r>
              <w:rPr>
                <w:b/>
                <w:bCs/>
                <w:sz w:val="17"/>
                <w:szCs w:val="17"/>
              </w:rPr>
              <w:t xml:space="preserve">Delete</w:t>
            </w:r>
          </w:p>
        </w:tc>
        <w:tc>
          <w:tcPr>
            <w:tcW w:type="dxa" w:w="3350"/>
            <w:tcMar>
              <w:top w:type="dxa" w:w="80"/>
              <w:left w:type="dxa" w:w="100"/>
              <w:bottom w:type="dxa" w:w="80"/>
              <w:right w:type="dxa" w:w="100"/>
            </w:tcMar>
            <w:vAlign w:val="center"/>
          </w:tcPr>
          <w:p>
            <w:r>
              <w:rPr>
                <w:b w:val="false"/>
                <w:bCs w:val="false"/>
                <w:sz w:val="17"/>
                <w:szCs w:val="17"/>
              </w:rPr>
              <w:t xml:space="preserve">No account-deletion endpoint exists for users or attackers via the API. Only DB-level deletion (Database attacker, Insider) or the seed script's targeted demo-user wipe.</w:t>
            </w:r>
          </w:p>
        </w:tc>
        <w:tc>
          <w:tcPr>
            <w:tcW w:type="dxa" w:w="2650"/>
            <w:tcMar>
              <w:top w:type="dxa" w:w="80"/>
              <w:left w:type="dxa" w:w="100"/>
              <w:bottom w:type="dxa" w:w="80"/>
              <w:right w:type="dxa" w:w="100"/>
            </w:tcMar>
            <w:vAlign w:val="center"/>
          </w:tcPr>
          <w:p>
            <w:r>
              <w:rPr>
                <w:b w:val="false"/>
                <w:bCs w:val="false"/>
                <w:sz w:val="17"/>
                <w:szCs w:val="17"/>
              </w:rPr>
              <w:t xml:space="preserve">None user-facing (this is also a privacy gap — see Phase 1 F-21).</w:t>
            </w:r>
          </w:p>
        </w:tc>
        <w:tc>
          <w:tcPr>
            <w:tcW w:type="dxa" w:w="2460"/>
            <w:tcMar>
              <w:top w:type="dxa" w:w="80"/>
              <w:left w:type="dxa" w:w="100"/>
              <w:bottom w:type="dxa" w:w="80"/>
              <w:right w:type="dxa" w:w="100"/>
            </w:tcMar>
            <w:vAlign w:val="center"/>
          </w:tcPr>
          <w:p>
            <w:r>
              <w:rPr>
                <w:b w:val="false"/>
                <w:bCs w:val="false"/>
                <w:sz w:val="17"/>
                <w:szCs w:val="17"/>
              </w:rPr>
              <w:t xml:space="preserve">Low remotely; High if DB access is obtained.</w:t>
            </w:r>
          </w:p>
        </w:tc>
      </w:tr>
      <w:tr>
        <w:tc>
          <w:tcPr>
            <w:tcW w:type="dxa" w:w="900"/>
            <w:tcMar>
              <w:top w:type="dxa" w:w="80"/>
              <w:left w:type="dxa" w:w="100"/>
              <w:bottom w:type="dxa" w:w="80"/>
              <w:right w:type="dxa" w:w="100"/>
            </w:tcMar>
            <w:vAlign w:val="center"/>
          </w:tcPr>
          <w:p>
            <w:r>
              <w:rPr>
                <w:b/>
                <w:bCs/>
                <w:sz w:val="17"/>
                <w:szCs w:val="17"/>
              </w:rPr>
              <w:t xml:space="preserve">Misuse</w:t>
            </w:r>
          </w:p>
        </w:tc>
        <w:tc>
          <w:tcPr>
            <w:tcW w:type="dxa" w:w="3350"/>
            <w:tcMar>
              <w:top w:type="dxa" w:w="80"/>
              <w:left w:type="dxa" w:w="100"/>
              <w:bottom w:type="dxa" w:w="80"/>
              <w:right w:type="dxa" w:w="100"/>
            </w:tcMar>
            <w:vAlign w:val="center"/>
          </w:tcPr>
          <w:p>
            <w:r>
              <w:rPr>
                <w:b w:val="false"/>
                <w:bCs w:val="false"/>
                <w:sz w:val="17"/>
                <w:szCs w:val="17"/>
              </w:rPr>
              <w:t xml:space="preserve">Register-then-abuse: create an account purely to hammer the chat quota, or to enumerate other emails via the 409 register-conflict response (Anonymous attacker). Shared-device misuse: a person with physical/session access to someone else's logged-in device reads their journal/chat (Logged-in malicious user, in the abuse-partner sense).</w:t>
            </w:r>
          </w:p>
        </w:tc>
        <w:tc>
          <w:tcPr>
            <w:tcW w:type="dxa" w:w="2650"/>
            <w:tcMar>
              <w:top w:type="dxa" w:w="80"/>
              <w:left w:type="dxa" w:w="100"/>
              <w:bottom w:type="dxa" w:w="80"/>
              <w:right w:type="dxa" w:w="100"/>
            </w:tcMar>
            <w:vAlign w:val="center"/>
          </w:tcPr>
          <w:p>
            <w:r>
              <w:rPr>
                <w:b w:val="false"/>
                <w:bCs w:val="false"/>
                <w:sz w:val="17"/>
                <w:szCs w:val="17"/>
              </w:rPr>
              <w:t xml:space="preserve">Chat rate limit (30/15min) bounds one form of abuse; nothing bounds enumeration.</w:t>
            </w:r>
          </w:p>
        </w:tc>
        <w:tc>
          <w:tcPr>
            <w:tcW w:type="dxa" w:w="2460"/>
            <w:tcMar>
              <w:top w:type="dxa" w:w="80"/>
              <w:left w:type="dxa" w:w="100"/>
              <w:bottom w:type="dxa" w:w="80"/>
              <w:right w:type="dxa" w:w="100"/>
            </w:tcMar>
            <w:vAlign w:val="center"/>
          </w:tcPr>
          <w:p>
            <w:r>
              <w:rPr>
                <w:b w:val="false"/>
                <w:bCs w:val="false"/>
                <w:sz w:val="17"/>
                <w:szCs w:val="17"/>
              </w:rPr>
              <w:t xml:space="preserve">Medium.</w:t>
            </w:r>
          </w:p>
        </w:tc>
      </w:tr>
    </w:tbl>
    <w:p>
      <w:pPr>
        <w:pStyle w:val="Heading2"/>
        <w:spacing w:after="140" w:before="280"/>
      </w:pPr>
      <w:r>
        <w:t xml:space="preserve">Asset 2 · Passwords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350"/>
        <w:gridCol w:w="2650"/>
        <w:gridCol w:w="2460"/>
      </w:tblGrid>
      <w:tr>
        <w:trPr>
          <w:tblHeader/>
        </w:trPr>
        <w:tc>
          <w:tcPr>
            <w:tcW w:type="dxa" w:w="900"/>
            <w:shd w:fill="D9D9D9" w:val="clear"/>
            <w:tcMar>
              <w:top w:type="dxa" w:w="80"/>
              <w:left w:type="dxa" w:w="100"/>
              <w:bottom w:type="dxa" w:w="80"/>
              <w:right w:type="dxa" w:w="100"/>
            </w:tcMar>
            <w:vAlign w:val="center"/>
          </w:tcPr>
          <w:p>
            <w:r>
              <w:rPr>
                <w:b/>
                <w:bCs/>
                <w:sz w:val="17"/>
                <w:szCs w:val="17"/>
              </w:rPr>
              <w:t xml:space="preserve">Action</w:t>
            </w:r>
          </w:p>
        </w:tc>
        <w:tc>
          <w:tcPr>
            <w:tcW w:type="dxa" w:w="3350"/>
            <w:shd w:fill="D9D9D9" w:val="clear"/>
            <w:tcMar>
              <w:top w:type="dxa" w:w="80"/>
              <w:left w:type="dxa" w:w="100"/>
              <w:bottom w:type="dxa" w:w="80"/>
              <w:right w:type="dxa" w:w="100"/>
            </w:tcMar>
            <w:vAlign w:val="center"/>
          </w:tcPr>
          <w:p>
            <w:r>
              <w:rPr>
                <w:b/>
                <w:bCs/>
                <w:sz w:val="17"/>
                <w:szCs w:val="17"/>
              </w:rPr>
              <w:t xml:space="preserve">Vector &amp; Attacker</w:t>
            </w:r>
          </w:p>
        </w:tc>
        <w:tc>
          <w:tcPr>
            <w:tcW w:type="dxa" w:w="2650"/>
            <w:shd w:fill="D9D9D9" w:val="clear"/>
            <w:tcMar>
              <w:top w:type="dxa" w:w="80"/>
              <w:left w:type="dxa" w:w="100"/>
              <w:bottom w:type="dxa" w:w="80"/>
              <w:right w:type="dxa" w:w="100"/>
            </w:tcMar>
            <w:vAlign w:val="center"/>
          </w:tcPr>
          <w:p>
            <w:r>
              <w:rPr>
                <w:b/>
                <w:bCs/>
                <w:sz w:val="17"/>
                <w:szCs w:val="17"/>
              </w:rPr>
              <w:t xml:space="preserve">Current Control</w:t>
            </w:r>
          </w:p>
        </w:tc>
        <w:tc>
          <w:tcPr>
            <w:tcW w:type="dxa" w:w="2460"/>
            <w:shd w:fill="D9D9D9" w:val="clear"/>
            <w:tcMar>
              <w:top w:type="dxa" w:w="80"/>
              <w:left w:type="dxa" w:w="100"/>
              <w:bottom w:type="dxa" w:w="80"/>
              <w:right w:type="dxa" w:w="100"/>
            </w:tcMar>
            <w:vAlign w:val="center"/>
          </w:tcPr>
          <w:p>
            <w:r>
              <w:rPr>
                <w:b/>
                <w:bCs/>
                <w:sz w:val="17"/>
                <w:szCs w:val="17"/>
              </w:rPr>
              <w:t xml:space="preserve">Residual Risk</w:t>
            </w:r>
          </w:p>
        </w:tc>
      </w:tr>
      <w:tr>
        <w:tc>
          <w:tcPr>
            <w:tcW w:type="dxa" w:w="900"/>
            <w:tcMar>
              <w:top w:type="dxa" w:w="80"/>
              <w:left w:type="dxa" w:w="100"/>
              <w:bottom w:type="dxa" w:w="80"/>
              <w:right w:type="dxa" w:w="100"/>
            </w:tcMar>
            <w:vAlign w:val="center"/>
          </w:tcPr>
          <w:p>
            <w:r>
              <w:rPr>
                <w:b/>
                <w:bCs/>
                <w:sz w:val="17"/>
                <w:szCs w:val="17"/>
              </w:rPr>
              <w:t xml:space="preserve">Steal</w:t>
            </w:r>
          </w:p>
        </w:tc>
        <w:tc>
          <w:tcPr>
            <w:tcW w:type="dxa" w:w="3350"/>
            <w:tcMar>
              <w:top w:type="dxa" w:w="80"/>
              <w:left w:type="dxa" w:w="100"/>
              <w:bottom w:type="dxa" w:w="80"/>
              <w:right w:type="dxa" w:w="100"/>
            </w:tcMar>
            <w:vAlign w:val="center"/>
          </w:tcPr>
          <w:p>
            <w:r>
              <w:rPr>
                <w:b w:val="false"/>
                <w:bCs w:val="false"/>
                <w:sz w:val="17"/>
                <w:szCs w:val="17"/>
              </w:rPr>
              <w:t xml:space="preserve">Network interception if TLS is misconfigured at the hosting layer (app itself does not enforce HTTPS/HSTS). Offline brute force against an exfiltrated bcrypt hash (Database attacker).</w:t>
            </w:r>
          </w:p>
        </w:tc>
        <w:tc>
          <w:tcPr>
            <w:tcW w:type="dxa" w:w="2650"/>
            <w:tcMar>
              <w:top w:type="dxa" w:w="80"/>
              <w:left w:type="dxa" w:w="100"/>
              <w:bottom w:type="dxa" w:w="80"/>
              <w:right w:type="dxa" w:w="100"/>
            </w:tcMar>
            <w:vAlign w:val="center"/>
          </w:tcPr>
          <w:p>
            <w:r>
              <w:rPr>
                <w:b w:val="false"/>
                <w:bCs w:val="false"/>
                <w:sz w:val="17"/>
                <w:szCs w:val="17"/>
              </w:rPr>
              <w:t xml:space="preserve">bcryptjs cost factor 10 slows offline cracking; passwords are never logged (verified — logger does not log req.body).</w:t>
            </w:r>
          </w:p>
        </w:tc>
        <w:tc>
          <w:tcPr>
            <w:tcW w:type="dxa" w:w="2460"/>
            <w:tcMar>
              <w:top w:type="dxa" w:w="80"/>
              <w:left w:type="dxa" w:w="100"/>
              <w:bottom w:type="dxa" w:w="80"/>
              <w:right w:type="dxa" w:w="100"/>
            </w:tcMar>
            <w:vAlign w:val="center"/>
          </w:tcPr>
          <w:p>
            <w:r>
              <w:rPr>
                <w:b w:val="false"/>
                <w:bCs w:val="false"/>
                <w:sz w:val="17"/>
                <w:szCs w:val="17"/>
              </w:rPr>
              <w:t xml:space="preserve">Medium — depends entirely on deployment-layer TLS, which is outside this codebase.</w:t>
            </w:r>
          </w:p>
        </w:tc>
      </w:tr>
      <w:tr>
        <w:tc>
          <w:tcPr>
            <w:tcW w:type="dxa" w:w="900"/>
            <w:tcMar>
              <w:top w:type="dxa" w:w="80"/>
              <w:left w:type="dxa" w:w="100"/>
              <w:bottom w:type="dxa" w:w="80"/>
              <w:right w:type="dxa" w:w="100"/>
            </w:tcMar>
            <w:vAlign w:val="center"/>
          </w:tcPr>
          <w:p>
            <w:r>
              <w:rPr>
                <w:b/>
                <w:bCs/>
                <w:sz w:val="17"/>
                <w:szCs w:val="17"/>
              </w:rPr>
              <w:t xml:space="preserve">Modify</w:t>
            </w:r>
          </w:p>
        </w:tc>
        <w:tc>
          <w:tcPr>
            <w:tcW w:type="dxa" w:w="3350"/>
            <w:tcMar>
              <w:top w:type="dxa" w:w="80"/>
              <w:left w:type="dxa" w:w="100"/>
              <w:bottom w:type="dxa" w:w="80"/>
              <w:right w:type="dxa" w:w="100"/>
            </w:tcMar>
            <w:vAlign w:val="center"/>
          </w:tcPr>
          <w:p>
            <w:r>
              <w:rPr>
                <w:b w:val="false"/>
                <w:bCs w:val="false"/>
                <w:sz w:val="17"/>
                <w:szCs w:val="17"/>
              </w:rPr>
              <w:t xml:space="preserve">No password-change endpoint exists in the API at all — an attacker cannot remotely rotate a password, but neither can a legitimate user after a suspected compromise.</w:t>
            </w:r>
          </w:p>
        </w:tc>
        <w:tc>
          <w:tcPr>
            <w:tcW w:type="dxa" w:w="2650"/>
            <w:tcMar>
              <w:top w:type="dxa" w:w="80"/>
              <w:left w:type="dxa" w:w="100"/>
              <w:bottom w:type="dxa" w:w="80"/>
              <w:right w:type="dxa" w:w="100"/>
            </w:tcMar>
            <w:vAlign w:val="center"/>
          </w:tcPr>
          <w:p>
            <w:r>
              <w:rPr>
                <w:b w:val="false"/>
                <w:bCs w:val="false"/>
                <w:sz w:val="17"/>
                <w:szCs w:val="17"/>
              </w:rPr>
              <w:t xml:space="preserve">None (functionality gap, not a control) — full rewrite only possible via direct DB access (Database attacker, Insider).</w:t>
            </w:r>
          </w:p>
        </w:tc>
        <w:tc>
          <w:tcPr>
            <w:tcW w:type="dxa" w:w="2460"/>
            <w:tcMar>
              <w:top w:type="dxa" w:w="80"/>
              <w:left w:type="dxa" w:w="100"/>
              <w:bottom w:type="dxa" w:w="80"/>
              <w:right w:type="dxa" w:w="100"/>
            </w:tcMar>
            <w:vAlign w:val="center"/>
          </w:tcPr>
          <w:p>
            <w:r>
              <w:rPr>
                <w:b w:val="false"/>
                <w:bCs w:val="false"/>
                <w:sz w:val="17"/>
                <w:szCs w:val="17"/>
              </w:rPr>
              <w:t xml:space="preserve">Medium — the missing self-service rotation path is itself a risk: a user with a suspected-stolen password has no way to lock the attacker out.</w:t>
            </w:r>
          </w:p>
        </w:tc>
      </w:tr>
      <w:tr>
        <w:tc>
          <w:tcPr>
            <w:tcW w:type="dxa" w:w="900"/>
            <w:tcMar>
              <w:top w:type="dxa" w:w="80"/>
              <w:left w:type="dxa" w:w="100"/>
              <w:bottom w:type="dxa" w:w="80"/>
              <w:right w:type="dxa" w:w="100"/>
            </w:tcMar>
            <w:vAlign w:val="center"/>
          </w:tcPr>
          <w:p>
            <w:r>
              <w:rPr>
                <w:b/>
                <w:bCs/>
                <w:sz w:val="17"/>
                <w:szCs w:val="17"/>
              </w:rPr>
              <w:t xml:space="preserve">Delete</w:t>
            </w:r>
          </w:p>
        </w:tc>
        <w:tc>
          <w:tcPr>
            <w:tcW w:type="dxa" w:w="3350"/>
            <w:tcMar>
              <w:top w:type="dxa" w:w="80"/>
              <w:left w:type="dxa" w:w="100"/>
              <w:bottom w:type="dxa" w:w="80"/>
              <w:right w:type="dxa" w:w="100"/>
            </w:tcMar>
            <w:vAlign w:val="center"/>
          </w:tcPr>
          <w:p>
            <w:r>
              <w:rPr>
                <w:b w:val="false"/>
                <w:bCs w:val="false"/>
                <w:sz w:val="17"/>
                <w:szCs w:val="17"/>
              </w:rPr>
              <w:t xml:space="preserve">Only meaningful via full account deletion, which does not exist as an API path (see Asset 1).</w:t>
            </w:r>
          </w:p>
        </w:tc>
        <w:tc>
          <w:tcPr>
            <w:tcW w:type="dxa" w:w="2650"/>
            <w:tcMar>
              <w:top w:type="dxa" w:w="80"/>
              <w:left w:type="dxa" w:w="100"/>
              <w:bottom w:type="dxa" w:w="80"/>
              <w:right w:type="dxa" w:w="100"/>
            </w:tcMar>
            <w:vAlign w:val="center"/>
          </w:tcPr>
          <w:p>
            <w:r>
              <w:rPr>
                <w:b w:val="false"/>
                <w:bCs w:val="false"/>
                <w:sz w:val="17"/>
                <w:szCs w:val="17"/>
              </w:rPr>
              <w:t xml:space="preserve">N/A.</w:t>
            </w:r>
          </w:p>
        </w:tc>
        <w:tc>
          <w:tcPr>
            <w:tcW w:type="dxa" w:w="2460"/>
            <w:tcMar>
              <w:top w:type="dxa" w:w="80"/>
              <w:left w:type="dxa" w:w="100"/>
              <w:bottom w:type="dxa" w:w="80"/>
              <w:right w:type="dxa" w:w="100"/>
            </w:tcMar>
            <w:vAlign w:val="center"/>
          </w:tcPr>
          <w:p>
            <w:r>
              <w:rPr>
                <w:b w:val="false"/>
                <w:bCs w:val="false"/>
                <w:sz w:val="17"/>
                <w:szCs w:val="17"/>
              </w:rPr>
              <w:t xml:space="preserve">Low.</w:t>
            </w:r>
          </w:p>
        </w:tc>
      </w:tr>
      <w:tr>
        <w:tc>
          <w:tcPr>
            <w:tcW w:type="dxa" w:w="900"/>
            <w:tcMar>
              <w:top w:type="dxa" w:w="80"/>
              <w:left w:type="dxa" w:w="100"/>
              <w:bottom w:type="dxa" w:w="80"/>
              <w:right w:type="dxa" w:w="100"/>
            </w:tcMar>
            <w:vAlign w:val="center"/>
          </w:tcPr>
          <w:p>
            <w:r>
              <w:rPr>
                <w:b/>
                <w:bCs/>
                <w:sz w:val="17"/>
                <w:szCs w:val="17"/>
              </w:rPr>
              <w:t xml:space="preserve">Misuse</w:t>
            </w:r>
          </w:p>
        </w:tc>
        <w:tc>
          <w:tcPr>
            <w:tcW w:type="dxa" w:w="3350"/>
            <w:tcMar>
              <w:top w:type="dxa" w:w="80"/>
              <w:left w:type="dxa" w:w="100"/>
              <w:bottom w:type="dxa" w:w="80"/>
              <w:right w:type="dxa" w:w="100"/>
            </w:tcMar>
            <w:vAlign w:val="center"/>
          </w:tcPr>
          <w:p>
            <w:r>
              <w:rPr>
                <w:b w:val="false"/>
                <w:bCs w:val="false"/>
                <w:sz w:val="17"/>
                <w:szCs w:val="17"/>
              </w:rPr>
              <w:t xml:space="preserve">Password reuse across breaches enables credential stuffing (Anonymous attacker, API spammer) against the unthrottled login endpoint.</w:t>
            </w:r>
          </w:p>
        </w:tc>
        <w:tc>
          <w:tcPr>
            <w:tcW w:type="dxa" w:w="2650"/>
            <w:tcMar>
              <w:top w:type="dxa" w:w="80"/>
              <w:left w:type="dxa" w:w="100"/>
              <w:bottom w:type="dxa" w:w="80"/>
              <w:right w:type="dxa" w:w="100"/>
            </w:tcMar>
            <w:vAlign w:val="center"/>
          </w:tcPr>
          <w:p>
            <w:r>
              <w:rPr>
                <w:b w:val="false"/>
                <w:bCs w:val="false"/>
                <w:sz w:val="17"/>
                <w:szCs w:val="17"/>
              </w:rPr>
              <w:t xml:space="preserve">8-char minimum with upper/lower/digit complexity (Zod schema) raises the floor but does not check against known-breached password lists.</w:t>
            </w:r>
          </w:p>
        </w:tc>
        <w:tc>
          <w:tcPr>
            <w:tcW w:type="dxa" w:w="2460"/>
            <w:tcMar>
              <w:top w:type="dxa" w:w="80"/>
              <w:left w:type="dxa" w:w="100"/>
              <w:bottom w:type="dxa" w:w="80"/>
              <w:right w:type="dxa" w:w="100"/>
            </w:tcMar>
            <w:vAlign w:val="center"/>
          </w:tcPr>
          <w:p>
            <w:r>
              <w:rPr>
                <w:b w:val="false"/>
                <w:bCs w:val="false"/>
                <w:sz w:val="17"/>
                <w:szCs w:val="17"/>
              </w:rPr>
              <w:t xml:space="preserve">Medium.</w:t>
            </w:r>
          </w:p>
        </w:tc>
      </w:tr>
    </w:tbl>
    <w:p>
      <w:pPr>
        <w:pStyle w:val="Heading2"/>
        <w:spacing w:after="140" w:before="280"/>
      </w:pPr>
      <w:r>
        <w:t xml:space="preserve">Asset 3 · JWTs</w:t>
      </w:r>
    </w:p>
    <w:p>
      <w:pPr>
        <w:spacing w:after="160" w:line="276"/>
      </w:pPr>
      <w:r>
        <w:t xml:space="preserve">The single most consequential asset in this model after MongoDB itself and the environment variables that protect it — a JWT is the difference between 'anonymous' and 'is this specific user' for every protected route.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350"/>
        <w:gridCol w:w="2650"/>
        <w:gridCol w:w="2460"/>
      </w:tblGrid>
      <w:tr>
        <w:trPr>
          <w:tblHeader/>
        </w:trPr>
        <w:tc>
          <w:tcPr>
            <w:tcW w:type="dxa" w:w="900"/>
            <w:shd w:fill="D9D9D9" w:val="clear"/>
            <w:tcMar>
              <w:top w:type="dxa" w:w="80"/>
              <w:left w:type="dxa" w:w="100"/>
              <w:bottom w:type="dxa" w:w="80"/>
              <w:right w:type="dxa" w:w="100"/>
            </w:tcMar>
            <w:vAlign w:val="center"/>
          </w:tcPr>
          <w:p>
            <w:r>
              <w:rPr>
                <w:b/>
                <w:bCs/>
                <w:sz w:val="17"/>
                <w:szCs w:val="17"/>
              </w:rPr>
              <w:t xml:space="preserve">Action</w:t>
            </w:r>
          </w:p>
        </w:tc>
        <w:tc>
          <w:tcPr>
            <w:tcW w:type="dxa" w:w="3350"/>
            <w:shd w:fill="D9D9D9" w:val="clear"/>
            <w:tcMar>
              <w:top w:type="dxa" w:w="80"/>
              <w:left w:type="dxa" w:w="100"/>
              <w:bottom w:type="dxa" w:w="80"/>
              <w:right w:type="dxa" w:w="100"/>
            </w:tcMar>
            <w:vAlign w:val="center"/>
          </w:tcPr>
          <w:p>
            <w:r>
              <w:rPr>
                <w:b/>
                <w:bCs/>
                <w:sz w:val="17"/>
                <w:szCs w:val="17"/>
              </w:rPr>
              <w:t xml:space="preserve">Vector &amp; Attacker</w:t>
            </w:r>
          </w:p>
        </w:tc>
        <w:tc>
          <w:tcPr>
            <w:tcW w:type="dxa" w:w="2650"/>
            <w:shd w:fill="D9D9D9" w:val="clear"/>
            <w:tcMar>
              <w:top w:type="dxa" w:w="80"/>
              <w:left w:type="dxa" w:w="100"/>
              <w:bottom w:type="dxa" w:w="80"/>
              <w:right w:type="dxa" w:w="100"/>
            </w:tcMar>
            <w:vAlign w:val="center"/>
          </w:tcPr>
          <w:p>
            <w:r>
              <w:rPr>
                <w:b/>
                <w:bCs/>
                <w:sz w:val="17"/>
                <w:szCs w:val="17"/>
              </w:rPr>
              <w:t xml:space="preserve">Current Control</w:t>
            </w:r>
          </w:p>
        </w:tc>
        <w:tc>
          <w:tcPr>
            <w:tcW w:type="dxa" w:w="2460"/>
            <w:shd w:fill="D9D9D9" w:val="clear"/>
            <w:tcMar>
              <w:top w:type="dxa" w:w="80"/>
              <w:left w:type="dxa" w:w="100"/>
              <w:bottom w:type="dxa" w:w="80"/>
              <w:right w:type="dxa" w:w="100"/>
            </w:tcMar>
            <w:vAlign w:val="center"/>
          </w:tcPr>
          <w:p>
            <w:r>
              <w:rPr>
                <w:b/>
                <w:bCs/>
                <w:sz w:val="17"/>
                <w:szCs w:val="17"/>
              </w:rPr>
              <w:t xml:space="preserve">Residual Risk</w:t>
            </w:r>
          </w:p>
        </w:tc>
      </w:tr>
      <w:tr>
        <w:tc>
          <w:tcPr>
            <w:tcW w:type="dxa" w:w="900"/>
            <w:tcMar>
              <w:top w:type="dxa" w:w="80"/>
              <w:left w:type="dxa" w:w="100"/>
              <w:bottom w:type="dxa" w:w="80"/>
              <w:right w:type="dxa" w:w="100"/>
            </w:tcMar>
            <w:vAlign w:val="center"/>
          </w:tcPr>
          <w:p>
            <w:r>
              <w:rPr>
                <w:b/>
                <w:bCs/>
                <w:sz w:val="17"/>
                <w:szCs w:val="17"/>
              </w:rPr>
              <w:t xml:space="preserve">Steal</w:t>
            </w:r>
          </w:p>
        </w:tc>
        <w:tc>
          <w:tcPr>
            <w:tcW w:type="dxa" w:w="3350"/>
            <w:tcMar>
              <w:top w:type="dxa" w:w="80"/>
              <w:left w:type="dxa" w:w="100"/>
              <w:bottom w:type="dxa" w:w="80"/>
              <w:right w:type="dxa" w:w="100"/>
            </w:tcMar>
            <w:vAlign w:val="center"/>
          </w:tcPr>
          <w:p>
            <w:r>
              <w:rPr>
                <w:b w:val="false"/>
                <w:bCs w:val="false"/>
                <w:sz w:val="17"/>
                <w:szCs w:val="17"/>
              </w:rPr>
              <w:t xml:space="preserve">XSS reading localStorage (XSS attacker — no vector found today, but this is the asset that makes one high-value if found later). Device/session sharing with no re-auth prompt. Network interception if TLS is misconfigured.</w:t>
            </w:r>
          </w:p>
        </w:tc>
        <w:tc>
          <w:tcPr>
            <w:tcW w:type="dxa" w:w="2650"/>
            <w:tcMar>
              <w:top w:type="dxa" w:w="80"/>
              <w:left w:type="dxa" w:w="100"/>
              <w:bottom w:type="dxa" w:w="80"/>
              <w:right w:type="dxa" w:w="100"/>
            </w:tcMar>
            <w:vAlign w:val="center"/>
          </w:tcPr>
          <w:p>
            <w:r>
              <w:rPr>
                <w:b w:val="false"/>
                <w:bCs w:val="false"/>
                <w:sz w:val="17"/>
                <w:szCs w:val="17"/>
              </w:rPr>
              <w:t xml:space="preserve">Token is not logged server-side (verified). No XSS vector found in this review.</w:t>
            </w:r>
          </w:p>
        </w:tc>
        <w:tc>
          <w:tcPr>
            <w:tcW w:type="dxa" w:w="2460"/>
            <w:tcMar>
              <w:top w:type="dxa" w:w="80"/>
              <w:left w:type="dxa" w:w="100"/>
              <w:bottom w:type="dxa" w:w="80"/>
              <w:right w:type="dxa" w:w="100"/>
            </w:tcMar>
            <w:vAlign w:val="center"/>
          </w:tcPr>
          <w:p>
            <w:r>
              <w:rPr>
                <w:b w:val="false"/>
                <w:bCs w:val="false"/>
                <w:sz w:val="17"/>
                <w:szCs w:val="17"/>
              </w:rPr>
              <w:t xml:space="preserve">High — the localStorage storage choice means the day an XSS vector appears, the payoff is immediate full account takeover.</w:t>
            </w:r>
          </w:p>
        </w:tc>
      </w:tr>
      <w:tr>
        <w:tc>
          <w:tcPr>
            <w:tcW w:type="dxa" w:w="900"/>
            <w:tcMar>
              <w:top w:type="dxa" w:w="80"/>
              <w:left w:type="dxa" w:w="100"/>
              <w:bottom w:type="dxa" w:w="80"/>
              <w:right w:type="dxa" w:w="100"/>
            </w:tcMar>
            <w:vAlign w:val="center"/>
          </w:tcPr>
          <w:p>
            <w:r>
              <w:rPr>
                <w:b/>
                <w:bCs/>
                <w:sz w:val="17"/>
                <w:szCs w:val="17"/>
              </w:rPr>
              <w:t xml:space="preserve">Modify</w:t>
            </w:r>
          </w:p>
        </w:tc>
        <w:tc>
          <w:tcPr>
            <w:tcW w:type="dxa" w:w="3350"/>
            <w:tcMar>
              <w:top w:type="dxa" w:w="80"/>
              <w:left w:type="dxa" w:w="100"/>
              <w:bottom w:type="dxa" w:w="80"/>
              <w:right w:type="dxa" w:w="100"/>
            </w:tcMar>
            <w:vAlign w:val="center"/>
          </w:tcPr>
          <w:p>
            <w:r>
              <w:rPr>
                <w:b w:val="false"/>
                <w:bCs w:val="false"/>
                <w:sz w:val="17"/>
                <w:szCs w:val="17"/>
              </w:rPr>
              <w:t xml:space="preserve">Cannot be forged/altered without JWT_SECRET, since jsonwebtoken verifies the HS256 signature. If JWT_SECRET is weak, leaked, or left as the placeholder value (Insider, or anyone who reads the public .env.example and guesses it was never rotated), an attacker can forge a valid token for any userId without ever touching a real token.</w:t>
            </w:r>
          </w:p>
        </w:tc>
        <w:tc>
          <w:tcPr>
            <w:tcW w:type="dxa" w:w="2650"/>
            <w:tcMar>
              <w:top w:type="dxa" w:w="80"/>
              <w:left w:type="dxa" w:w="100"/>
              <w:bottom w:type="dxa" w:w="80"/>
              <w:right w:type="dxa" w:w="100"/>
            </w:tcMar>
            <w:vAlign w:val="center"/>
          </w:tcPr>
          <w:p>
            <w:r>
              <w:rPr>
                <w:b w:val="false"/>
                <w:bCs w:val="false"/>
                <w:sz w:val="17"/>
                <w:szCs w:val="17"/>
              </w:rPr>
              <w:t xml:space="preserve">Zod requires JWT_SECRET to be a non-empty string only — no strength check.</w:t>
            </w:r>
          </w:p>
        </w:tc>
        <w:tc>
          <w:tcPr>
            <w:tcW w:type="dxa" w:w="2460"/>
            <w:tcMar>
              <w:top w:type="dxa" w:w="80"/>
              <w:left w:type="dxa" w:w="100"/>
              <w:bottom w:type="dxa" w:w="80"/>
              <w:right w:type="dxa" w:w="100"/>
            </w:tcMar>
            <w:vAlign w:val="center"/>
          </w:tcPr>
          <w:p>
            <w:r>
              <w:rPr>
                <w:b w:val="false"/>
                <w:bCs w:val="false"/>
                <w:sz w:val="17"/>
                <w:szCs w:val="17"/>
              </w:rPr>
              <w:t xml:space="preserve">Critical if the secret is ever left at its placeholder/default value in a reachable environment; Low otherwise.</w:t>
            </w:r>
          </w:p>
        </w:tc>
      </w:tr>
      <w:tr>
        <w:tc>
          <w:tcPr>
            <w:tcW w:type="dxa" w:w="900"/>
            <w:tcMar>
              <w:top w:type="dxa" w:w="80"/>
              <w:left w:type="dxa" w:w="100"/>
              <w:bottom w:type="dxa" w:w="80"/>
              <w:right w:type="dxa" w:w="100"/>
            </w:tcMar>
            <w:vAlign w:val="center"/>
          </w:tcPr>
          <w:p>
            <w:r>
              <w:rPr>
                <w:b/>
                <w:bCs/>
                <w:sz w:val="17"/>
                <w:szCs w:val="17"/>
              </w:rPr>
              <w:t xml:space="preserve">Delete / invalidate</w:t>
            </w:r>
          </w:p>
        </w:tc>
        <w:tc>
          <w:tcPr>
            <w:tcW w:type="dxa" w:w="3350"/>
            <w:tcMar>
              <w:top w:type="dxa" w:w="80"/>
              <w:left w:type="dxa" w:w="100"/>
              <w:bottom w:type="dxa" w:w="80"/>
              <w:right w:type="dxa" w:w="100"/>
            </w:tcMar>
            <w:vAlign w:val="center"/>
          </w:tcPr>
          <w:p>
            <w:r>
              <w:rPr>
                <w:b w:val="false"/>
                <w:bCs w:val="false"/>
                <w:sz w:val="17"/>
                <w:szCs w:val="17"/>
              </w:rPr>
              <w:t xml:space="preserve">No server-side revocation list or session store exists. 'Logout' is purely a client-side token deletion. A Stolen JWT holder keeps working access for the full 7-day lifetime regardless of what the legitimate user does.</w:t>
            </w:r>
          </w:p>
        </w:tc>
        <w:tc>
          <w:tcPr>
            <w:tcW w:type="dxa" w:w="2650"/>
            <w:tcMar>
              <w:top w:type="dxa" w:w="80"/>
              <w:left w:type="dxa" w:w="100"/>
              <w:bottom w:type="dxa" w:w="80"/>
              <w:right w:type="dxa" w:w="100"/>
            </w:tcMar>
            <w:vAlign w:val="center"/>
          </w:tcPr>
          <w:p>
            <w:r>
              <w:rPr>
                <w:b w:val="false"/>
                <w:bCs w:val="false"/>
                <w:sz w:val="17"/>
                <w:szCs w:val="17"/>
              </w:rPr>
              <w:t xml:space="preserve">7-day expiry caps the maximum exposure window; nothing shortens it early.</w:t>
            </w:r>
          </w:p>
        </w:tc>
        <w:tc>
          <w:tcPr>
            <w:tcW w:type="dxa" w:w="2460"/>
            <w:tcMar>
              <w:top w:type="dxa" w:w="80"/>
              <w:left w:type="dxa" w:w="100"/>
              <w:bottom w:type="dxa" w:w="80"/>
              <w:right w:type="dxa" w:w="100"/>
            </w:tcMar>
            <w:vAlign w:val="center"/>
          </w:tcPr>
          <w:p>
            <w:r>
              <w:rPr>
                <w:b w:val="false"/>
                <w:bCs w:val="false"/>
                <w:sz w:val="17"/>
                <w:szCs w:val="17"/>
              </w:rPr>
              <w:t xml:space="preserve">High.</w:t>
            </w:r>
          </w:p>
        </w:tc>
      </w:tr>
      <w:tr>
        <w:tc>
          <w:tcPr>
            <w:tcW w:type="dxa" w:w="900"/>
            <w:tcMar>
              <w:top w:type="dxa" w:w="80"/>
              <w:left w:type="dxa" w:w="100"/>
              <w:bottom w:type="dxa" w:w="80"/>
              <w:right w:type="dxa" w:w="100"/>
            </w:tcMar>
            <w:vAlign w:val="center"/>
          </w:tcPr>
          <w:p>
            <w:r>
              <w:rPr>
                <w:b/>
                <w:bCs/>
                <w:sz w:val="17"/>
                <w:szCs w:val="17"/>
              </w:rPr>
              <w:t xml:space="preserve">Misuse</w:t>
            </w:r>
          </w:p>
        </w:tc>
        <w:tc>
          <w:tcPr>
            <w:tcW w:type="dxa" w:w="3350"/>
            <w:tcMar>
              <w:top w:type="dxa" w:w="80"/>
              <w:left w:type="dxa" w:w="100"/>
              <w:bottom w:type="dxa" w:w="80"/>
              <w:right w:type="dxa" w:w="100"/>
            </w:tcMar>
            <w:vAlign w:val="center"/>
          </w:tcPr>
          <w:p>
            <w:r>
              <w:rPr>
                <w:b w:val="false"/>
                <w:bCs w:val="false"/>
                <w:sz w:val="17"/>
                <w:szCs w:val="17"/>
              </w:rPr>
              <w:t xml:space="preserve">A JWT is valid for every route the user can reach with no scope/audience restriction — a Stolen JWT holder gets full account access, not a limited capability. Replay from a different device/location triggers no anomaly detection.</w:t>
            </w:r>
          </w:p>
        </w:tc>
        <w:tc>
          <w:tcPr>
            <w:tcW w:type="dxa" w:w="2650"/>
            <w:tcMar>
              <w:top w:type="dxa" w:w="80"/>
              <w:left w:type="dxa" w:w="100"/>
              <w:bottom w:type="dxa" w:w="80"/>
              <w:right w:type="dxa" w:w="100"/>
            </w:tcMar>
            <w:vAlign w:val="center"/>
          </w:tcPr>
          <w:p>
            <w:r>
              <w:rPr>
                <w:b w:val="false"/>
                <w:bCs w:val="false"/>
                <w:sz w:val="17"/>
                <w:szCs w:val="17"/>
              </w:rPr>
              <w:t xml:space="preserve">None beyond the signature check itself.</w:t>
            </w:r>
          </w:p>
        </w:tc>
        <w:tc>
          <w:tcPr>
            <w:tcW w:type="dxa" w:w="2460"/>
            <w:tcMar>
              <w:top w:type="dxa" w:w="80"/>
              <w:left w:type="dxa" w:w="100"/>
              <w:bottom w:type="dxa" w:w="80"/>
              <w:right w:type="dxa" w:w="100"/>
            </w:tcMar>
            <w:vAlign w:val="center"/>
          </w:tcPr>
          <w:p>
            <w:r>
              <w:rPr>
                <w:b w:val="false"/>
                <w:bCs w:val="false"/>
                <w:sz w:val="17"/>
                <w:szCs w:val="17"/>
              </w:rPr>
              <w:t xml:space="preserve">High.</w:t>
            </w:r>
          </w:p>
        </w:tc>
      </w:tr>
    </w:tbl>
    <w:p>
      <w:pPr>
        <w:pStyle w:val="Heading2"/>
        <w:spacing w:after="140" w:before="280"/>
      </w:pPr>
      <w:r>
        <w:t xml:space="preserve">Asset 4 · Journal entries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350"/>
        <w:gridCol w:w="2650"/>
        <w:gridCol w:w="2460"/>
      </w:tblGrid>
      <w:tr>
        <w:trPr>
          <w:tblHeader/>
        </w:trPr>
        <w:tc>
          <w:tcPr>
            <w:tcW w:type="dxa" w:w="900"/>
            <w:shd w:fill="D9D9D9" w:val="clear"/>
            <w:tcMar>
              <w:top w:type="dxa" w:w="80"/>
              <w:left w:type="dxa" w:w="100"/>
              <w:bottom w:type="dxa" w:w="80"/>
              <w:right w:type="dxa" w:w="100"/>
            </w:tcMar>
            <w:vAlign w:val="center"/>
          </w:tcPr>
          <w:p>
            <w:r>
              <w:rPr>
                <w:b/>
                <w:bCs/>
                <w:sz w:val="17"/>
                <w:szCs w:val="17"/>
              </w:rPr>
              <w:t xml:space="preserve">Action</w:t>
            </w:r>
          </w:p>
        </w:tc>
        <w:tc>
          <w:tcPr>
            <w:tcW w:type="dxa" w:w="3350"/>
            <w:shd w:fill="D9D9D9" w:val="clear"/>
            <w:tcMar>
              <w:top w:type="dxa" w:w="80"/>
              <w:left w:type="dxa" w:w="100"/>
              <w:bottom w:type="dxa" w:w="80"/>
              <w:right w:type="dxa" w:w="100"/>
            </w:tcMar>
            <w:vAlign w:val="center"/>
          </w:tcPr>
          <w:p>
            <w:r>
              <w:rPr>
                <w:b/>
                <w:bCs/>
                <w:sz w:val="17"/>
                <w:szCs w:val="17"/>
              </w:rPr>
              <w:t xml:space="preserve">Vector &amp; Attacker</w:t>
            </w:r>
          </w:p>
        </w:tc>
        <w:tc>
          <w:tcPr>
            <w:tcW w:type="dxa" w:w="2650"/>
            <w:shd w:fill="D9D9D9" w:val="clear"/>
            <w:tcMar>
              <w:top w:type="dxa" w:w="80"/>
              <w:left w:type="dxa" w:w="100"/>
              <w:bottom w:type="dxa" w:w="80"/>
              <w:right w:type="dxa" w:w="100"/>
            </w:tcMar>
            <w:vAlign w:val="center"/>
          </w:tcPr>
          <w:p>
            <w:r>
              <w:rPr>
                <w:b/>
                <w:bCs/>
                <w:sz w:val="17"/>
                <w:szCs w:val="17"/>
              </w:rPr>
              <w:t xml:space="preserve">Current Control</w:t>
            </w:r>
          </w:p>
        </w:tc>
        <w:tc>
          <w:tcPr>
            <w:tcW w:type="dxa" w:w="2460"/>
            <w:shd w:fill="D9D9D9" w:val="clear"/>
            <w:tcMar>
              <w:top w:type="dxa" w:w="80"/>
              <w:left w:type="dxa" w:w="100"/>
              <w:bottom w:type="dxa" w:w="80"/>
              <w:right w:type="dxa" w:w="100"/>
            </w:tcMar>
            <w:vAlign w:val="center"/>
          </w:tcPr>
          <w:p>
            <w:r>
              <w:rPr>
                <w:b/>
                <w:bCs/>
                <w:sz w:val="17"/>
                <w:szCs w:val="17"/>
              </w:rPr>
              <w:t xml:space="preserve">Residual Risk</w:t>
            </w:r>
          </w:p>
        </w:tc>
      </w:tr>
      <w:tr>
        <w:tc>
          <w:tcPr>
            <w:tcW w:type="dxa" w:w="900"/>
            <w:tcMar>
              <w:top w:type="dxa" w:w="80"/>
              <w:left w:type="dxa" w:w="100"/>
              <w:bottom w:type="dxa" w:w="80"/>
              <w:right w:type="dxa" w:w="100"/>
            </w:tcMar>
            <w:vAlign w:val="center"/>
          </w:tcPr>
          <w:p>
            <w:r>
              <w:rPr>
                <w:b/>
                <w:bCs/>
                <w:sz w:val="17"/>
                <w:szCs w:val="17"/>
              </w:rPr>
              <w:t xml:space="preserve">Steal</w:t>
            </w:r>
          </w:p>
        </w:tc>
        <w:tc>
          <w:tcPr>
            <w:tcW w:type="dxa" w:w="3350"/>
            <w:tcMar>
              <w:top w:type="dxa" w:w="80"/>
              <w:left w:type="dxa" w:w="100"/>
              <w:bottom w:type="dxa" w:w="80"/>
              <w:right w:type="dxa" w:w="100"/>
            </w:tcMar>
            <w:vAlign w:val="center"/>
          </w:tcPr>
          <w:p>
            <w:r>
              <w:rPr>
                <w:b w:val="false"/>
                <w:bCs w:val="false"/>
                <w:sz w:val="17"/>
                <w:szCs w:val="17"/>
              </w:rPr>
              <w:t xml:space="preserve">Via a stolen/forged JWT + GET /api/journal/recent (up to 30 entries) or the chat context (last 20). Via direct DB access (Database attacker, Insider) — content is plaintext, no field-level encryption. Via the cloud-LLM fallback (Cloud AI provider) — full journal text leaves the server whenever Ollama is disabled or unreachable.</w:t>
            </w:r>
          </w:p>
        </w:tc>
        <w:tc>
          <w:tcPr>
            <w:tcW w:type="dxa" w:w="2650"/>
            <w:tcMar>
              <w:top w:type="dxa" w:w="80"/>
              <w:left w:type="dxa" w:w="100"/>
              <w:bottom w:type="dxa" w:w="80"/>
              <w:right w:type="dxa" w:w="100"/>
            </w:tcMar>
            <w:vAlign w:val="center"/>
          </w:tcPr>
          <w:p>
            <w:r>
              <w:rPr>
                <w:b w:val="false"/>
                <w:bCs w:val="false"/>
                <w:sz w:val="17"/>
                <w:szCs w:val="17"/>
              </w:rPr>
              <w:t xml:space="preserve">Ownership scoping (userId filter) prevents cross-user access via the API. No encryption at rest.</w:t>
            </w:r>
          </w:p>
        </w:tc>
        <w:tc>
          <w:tcPr>
            <w:tcW w:type="dxa" w:w="2460"/>
            <w:tcMar>
              <w:top w:type="dxa" w:w="80"/>
              <w:left w:type="dxa" w:w="100"/>
              <w:bottom w:type="dxa" w:w="80"/>
              <w:right w:type="dxa" w:w="100"/>
            </w:tcMar>
            <w:vAlign w:val="center"/>
          </w:tcPr>
          <w:p>
            <w:r>
              <w:rPr>
                <w:b w:val="false"/>
                <w:bCs w:val="false"/>
                <w:sz w:val="17"/>
                <w:szCs w:val="17"/>
              </w:rPr>
              <w:t xml:space="preserve">High — the combination of plaintext storage and default cloud-LLM exposure is the most sensitive data-handling gap in the system.</w:t>
            </w:r>
          </w:p>
        </w:tc>
      </w:tr>
      <w:tr>
        <w:tc>
          <w:tcPr>
            <w:tcW w:type="dxa" w:w="900"/>
            <w:tcMar>
              <w:top w:type="dxa" w:w="80"/>
              <w:left w:type="dxa" w:w="100"/>
              <w:bottom w:type="dxa" w:w="80"/>
              <w:right w:type="dxa" w:w="100"/>
            </w:tcMar>
            <w:vAlign w:val="center"/>
          </w:tcPr>
          <w:p>
            <w:r>
              <w:rPr>
                <w:b/>
                <w:bCs/>
                <w:sz w:val="17"/>
                <w:szCs w:val="17"/>
              </w:rPr>
              <w:t xml:space="preserve">Modify</w:t>
            </w:r>
          </w:p>
        </w:tc>
        <w:tc>
          <w:tcPr>
            <w:tcW w:type="dxa" w:w="3350"/>
            <w:tcMar>
              <w:top w:type="dxa" w:w="80"/>
              <w:left w:type="dxa" w:w="100"/>
              <w:bottom w:type="dxa" w:w="80"/>
              <w:right w:type="dxa" w:w="100"/>
            </w:tcMar>
            <w:vAlign w:val="center"/>
          </w:tcPr>
          <w:p>
            <w:r>
              <w:rPr>
                <w:b w:val="false"/>
                <w:bCs w:val="false"/>
                <w:sz w:val="17"/>
                <w:szCs w:val="17"/>
              </w:rPr>
              <w:t xml:space="preserve">No PATCH/PUT endpoint exists for journal entries — no remote modification path for any attacker. Only direct DB writes (Database attacker, Insider) can alter historical entries.</w:t>
            </w:r>
          </w:p>
        </w:tc>
        <w:tc>
          <w:tcPr>
            <w:tcW w:type="dxa" w:w="2650"/>
            <w:tcMar>
              <w:top w:type="dxa" w:w="80"/>
              <w:left w:type="dxa" w:w="100"/>
              <w:bottom w:type="dxa" w:w="80"/>
              <w:right w:type="dxa" w:w="100"/>
            </w:tcMar>
            <w:vAlign w:val="center"/>
          </w:tcPr>
          <w:p>
            <w:r>
              <w:rPr>
                <w:b w:val="false"/>
                <w:bCs w:val="false"/>
                <w:sz w:val="17"/>
                <w:szCs w:val="17"/>
              </w:rPr>
              <w:t xml:space="preserve">Absence of an update endpoint (accidental containment).</w:t>
            </w:r>
          </w:p>
        </w:tc>
        <w:tc>
          <w:tcPr>
            <w:tcW w:type="dxa" w:w="2460"/>
            <w:tcMar>
              <w:top w:type="dxa" w:w="80"/>
              <w:left w:type="dxa" w:w="100"/>
              <w:bottom w:type="dxa" w:w="80"/>
              <w:right w:type="dxa" w:w="100"/>
            </w:tcMar>
            <w:vAlign w:val="center"/>
          </w:tcPr>
          <w:p>
            <w:r>
              <w:rPr>
                <w:b w:val="false"/>
                <w:bCs w:val="false"/>
                <w:sz w:val="17"/>
                <w:szCs w:val="17"/>
              </w:rPr>
              <w:t xml:space="preserve">Low remotely; High if DB access is obtained (no integrity-checking mechanism would detect the tampering).</w:t>
            </w:r>
          </w:p>
        </w:tc>
      </w:tr>
      <w:tr>
        <w:tc>
          <w:tcPr>
            <w:tcW w:type="dxa" w:w="900"/>
            <w:tcMar>
              <w:top w:type="dxa" w:w="80"/>
              <w:left w:type="dxa" w:w="100"/>
              <w:bottom w:type="dxa" w:w="80"/>
              <w:right w:type="dxa" w:w="100"/>
            </w:tcMar>
            <w:vAlign w:val="center"/>
          </w:tcPr>
          <w:p>
            <w:r>
              <w:rPr>
                <w:b/>
                <w:bCs/>
                <w:sz w:val="17"/>
                <w:szCs w:val="17"/>
              </w:rPr>
              <w:t xml:space="preserve">Delete</w:t>
            </w:r>
          </w:p>
        </w:tc>
        <w:tc>
          <w:tcPr>
            <w:tcW w:type="dxa" w:w="3350"/>
            <w:tcMar>
              <w:top w:type="dxa" w:w="80"/>
              <w:left w:type="dxa" w:w="100"/>
              <w:bottom w:type="dxa" w:w="80"/>
              <w:right w:type="dxa" w:w="100"/>
            </w:tcMar>
            <w:vAlign w:val="center"/>
          </w:tcPr>
          <w:p>
            <w:r>
              <w:rPr>
                <w:b w:val="false"/>
                <w:bCs w:val="false"/>
                <w:sz w:val="17"/>
                <w:szCs w:val="17"/>
              </w:rPr>
              <w:t xml:space="preserve">No DELETE endpoint exists — neither the user nor an attacker can remove an entry via the API. Only direct DB access or the seed script's bulk wipe.</w:t>
            </w:r>
          </w:p>
        </w:tc>
        <w:tc>
          <w:tcPr>
            <w:tcW w:type="dxa" w:w="2650"/>
            <w:tcMar>
              <w:top w:type="dxa" w:w="80"/>
              <w:left w:type="dxa" w:w="100"/>
              <w:bottom w:type="dxa" w:w="80"/>
              <w:right w:type="dxa" w:w="100"/>
            </w:tcMar>
            <w:vAlign w:val="center"/>
          </w:tcPr>
          <w:p>
            <w:r>
              <w:rPr>
                <w:b w:val="false"/>
                <w:bCs w:val="false"/>
                <w:sz w:val="17"/>
                <w:szCs w:val="17"/>
              </w:rPr>
              <w:t xml:space="preserve">None (also a Phase-1 privacy gap, F-15/F-21).</w:t>
            </w:r>
          </w:p>
        </w:tc>
        <w:tc>
          <w:tcPr>
            <w:tcW w:type="dxa" w:w="2460"/>
            <w:tcMar>
              <w:top w:type="dxa" w:w="80"/>
              <w:left w:type="dxa" w:w="100"/>
              <w:bottom w:type="dxa" w:w="80"/>
              <w:right w:type="dxa" w:w="100"/>
            </w:tcMar>
            <w:vAlign w:val="center"/>
          </w:tcPr>
          <w:p>
            <w:r>
              <w:rPr>
                <w:b w:val="false"/>
                <w:bCs w:val="false"/>
                <w:sz w:val="17"/>
                <w:szCs w:val="17"/>
              </w:rPr>
              <w:t xml:space="preserve">Low remotely; High if DB access is obtained.</w:t>
            </w:r>
          </w:p>
        </w:tc>
      </w:tr>
      <w:tr>
        <w:tc>
          <w:tcPr>
            <w:tcW w:type="dxa" w:w="900"/>
            <w:tcMar>
              <w:top w:type="dxa" w:w="80"/>
              <w:left w:type="dxa" w:w="100"/>
              <w:bottom w:type="dxa" w:w="80"/>
              <w:right w:type="dxa" w:w="100"/>
            </w:tcMar>
            <w:vAlign w:val="center"/>
          </w:tcPr>
          <w:p>
            <w:r>
              <w:rPr>
                <w:b/>
                <w:bCs/>
                <w:sz w:val="17"/>
                <w:szCs w:val="17"/>
              </w:rPr>
              <w:t xml:space="preserve">Misuse</w:t>
            </w:r>
          </w:p>
        </w:tc>
        <w:tc>
          <w:tcPr>
            <w:tcW w:type="dxa" w:w="3350"/>
            <w:tcMar>
              <w:top w:type="dxa" w:w="80"/>
              <w:left w:type="dxa" w:w="100"/>
              <w:bottom w:type="dxa" w:w="80"/>
              <w:right w:type="dxa" w:w="100"/>
            </w:tcMar>
            <w:vAlign w:val="center"/>
          </w:tcPr>
          <w:p>
            <w:r>
              <w:rPr>
                <w:b w:val="false"/>
                <w:bCs w:val="false"/>
                <w:sz w:val="17"/>
                <w:szCs w:val="17"/>
              </w:rPr>
              <w:t xml:space="preserve">The primary fuel for a Prompt injection attacker — journal text is pulled directly into the LLM prompt via buildEvidenceCandidates/buildChatContext, so a deliberately crafted entry can attempt to steer the model's subsequent output. Also: a person with access to someone else's unlocked session (abusive-partner / shared-device scenario) can read deeply personal content never intended for them.</w:t>
            </w:r>
          </w:p>
        </w:tc>
        <w:tc>
          <w:tcPr>
            <w:tcW w:type="dxa" w:w="2650"/>
            <w:tcMar>
              <w:top w:type="dxa" w:w="80"/>
              <w:left w:type="dxa" w:w="100"/>
              <w:bottom w:type="dxa" w:w="80"/>
              <w:right w:type="dxa" w:w="100"/>
            </w:tcMar>
            <w:vAlign w:val="center"/>
          </w:tcPr>
          <w:p>
            <w:r>
              <w:rPr>
                <w:b w:val="false"/>
                <w:bCs w:val="false"/>
                <w:sz w:val="17"/>
                <w:szCs w:val="17"/>
              </w:rPr>
              <w:t xml:space="preserve">verifyInsight/scrubHealthReferences constrain what reaches the user as an AI response, but do not filter what goes into the prompt.</w:t>
            </w:r>
          </w:p>
        </w:tc>
        <w:tc>
          <w:tcPr>
            <w:tcW w:type="dxa" w:w="2460"/>
            <w:tcMar>
              <w:top w:type="dxa" w:w="80"/>
              <w:left w:type="dxa" w:w="100"/>
              <w:bottom w:type="dxa" w:w="80"/>
              <w:right w:type="dxa" w:w="100"/>
            </w:tcMar>
            <w:vAlign w:val="center"/>
          </w:tcPr>
          <w:p>
            <w:r>
              <w:rPr>
                <w:b w:val="false"/>
                <w:bCs w:val="false"/>
                <w:sz w:val="17"/>
                <w:szCs w:val="17"/>
              </w:rPr>
              <w:t xml:space="preserve">Medium-High.</w:t>
            </w:r>
          </w:p>
        </w:tc>
      </w:tr>
    </w:tbl>
    <w:p>
      <w:pPr>
        <w:pStyle w:val="Heading2"/>
        <w:spacing w:after="140" w:before="280"/>
      </w:pPr>
      <w:r>
        <w:t xml:space="preserve">Asset 5 · Health data</w:t>
      </w:r>
    </w:p>
    <w:p>
      <w:pPr>
        <w:spacing w:after="160" w:line="276"/>
      </w:pPr>
      <w:r>
        <w:t xml:space="preserve">Note: no POST/write endpoint for HealthData exists in the reviewed routes — today, rows are only ever created by seed.js, never via an authenticated API call. This removes one entire category of risk (no user- or attacker-writable ingestion path yet) but is also a functional gap for a product described as a "digital health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350"/>
        <w:gridCol w:w="2650"/>
        <w:gridCol w:w="2460"/>
      </w:tblGrid>
      <w:tr>
        <w:trPr>
          <w:tblHeader/>
        </w:trPr>
        <w:tc>
          <w:tcPr>
            <w:tcW w:type="dxa" w:w="900"/>
            <w:shd w:fill="D9D9D9" w:val="clear"/>
            <w:tcMar>
              <w:top w:type="dxa" w:w="80"/>
              <w:left w:type="dxa" w:w="100"/>
              <w:bottom w:type="dxa" w:w="80"/>
              <w:right w:type="dxa" w:w="100"/>
            </w:tcMar>
            <w:vAlign w:val="center"/>
          </w:tcPr>
          <w:p>
            <w:r>
              <w:rPr>
                <w:b/>
                <w:bCs/>
                <w:sz w:val="17"/>
                <w:szCs w:val="17"/>
              </w:rPr>
              <w:t xml:space="preserve">Action</w:t>
            </w:r>
          </w:p>
        </w:tc>
        <w:tc>
          <w:tcPr>
            <w:tcW w:type="dxa" w:w="3350"/>
            <w:shd w:fill="D9D9D9" w:val="clear"/>
            <w:tcMar>
              <w:top w:type="dxa" w:w="80"/>
              <w:left w:type="dxa" w:w="100"/>
              <w:bottom w:type="dxa" w:w="80"/>
              <w:right w:type="dxa" w:w="100"/>
            </w:tcMar>
            <w:vAlign w:val="center"/>
          </w:tcPr>
          <w:p>
            <w:r>
              <w:rPr>
                <w:b/>
                <w:bCs/>
                <w:sz w:val="17"/>
                <w:szCs w:val="17"/>
              </w:rPr>
              <w:t xml:space="preserve">Vector &amp; Attacker</w:t>
            </w:r>
          </w:p>
        </w:tc>
        <w:tc>
          <w:tcPr>
            <w:tcW w:type="dxa" w:w="2650"/>
            <w:shd w:fill="D9D9D9" w:val="clear"/>
            <w:tcMar>
              <w:top w:type="dxa" w:w="80"/>
              <w:left w:type="dxa" w:w="100"/>
              <w:bottom w:type="dxa" w:w="80"/>
              <w:right w:type="dxa" w:w="100"/>
            </w:tcMar>
            <w:vAlign w:val="center"/>
          </w:tcPr>
          <w:p>
            <w:r>
              <w:rPr>
                <w:b/>
                <w:bCs/>
                <w:sz w:val="17"/>
                <w:szCs w:val="17"/>
              </w:rPr>
              <w:t xml:space="preserve">Current Control</w:t>
            </w:r>
          </w:p>
        </w:tc>
        <w:tc>
          <w:tcPr>
            <w:tcW w:type="dxa" w:w="2460"/>
            <w:shd w:fill="D9D9D9" w:val="clear"/>
            <w:tcMar>
              <w:top w:type="dxa" w:w="80"/>
              <w:left w:type="dxa" w:w="100"/>
              <w:bottom w:type="dxa" w:w="80"/>
              <w:right w:type="dxa" w:w="100"/>
            </w:tcMar>
            <w:vAlign w:val="center"/>
          </w:tcPr>
          <w:p>
            <w:r>
              <w:rPr>
                <w:b/>
                <w:bCs/>
                <w:sz w:val="17"/>
                <w:szCs w:val="17"/>
              </w:rPr>
              <w:t xml:space="preserve">Residual Risk</w:t>
            </w:r>
          </w:p>
        </w:tc>
      </w:tr>
      <w:tr>
        <w:tc>
          <w:tcPr>
            <w:tcW w:type="dxa" w:w="900"/>
            <w:tcMar>
              <w:top w:type="dxa" w:w="80"/>
              <w:left w:type="dxa" w:w="100"/>
              <w:bottom w:type="dxa" w:w="80"/>
              <w:right w:type="dxa" w:w="100"/>
            </w:tcMar>
            <w:vAlign w:val="center"/>
          </w:tcPr>
          <w:p>
            <w:r>
              <w:rPr>
                <w:b/>
                <w:bCs/>
                <w:sz w:val="17"/>
                <w:szCs w:val="17"/>
              </w:rPr>
              <w:t xml:space="preserve">Steal</w:t>
            </w:r>
          </w:p>
        </w:tc>
        <w:tc>
          <w:tcPr>
            <w:tcW w:type="dxa" w:w="3350"/>
            <w:tcMar>
              <w:top w:type="dxa" w:w="80"/>
              <w:left w:type="dxa" w:w="100"/>
              <w:bottom w:type="dxa" w:w="80"/>
              <w:right w:type="dxa" w:w="100"/>
            </w:tcMar>
            <w:vAlign w:val="center"/>
          </w:tcPr>
          <w:p>
            <w:r>
              <w:rPr>
                <w:b w:val="false"/>
                <w:bCs w:val="false"/>
                <w:sz w:val="17"/>
                <w:szCs w:val="17"/>
              </w:rPr>
              <w:t xml:space="preserve">Via GET /api/health-data/overview or the dashboard summary (stolen/forged JWT). Via direct DB access (Database attacker, Insider) — plaintext, no encryption. Via cloud-LLM fallback when health context is included in a chat prompt (Cloud AI provider).</w:t>
            </w:r>
          </w:p>
        </w:tc>
        <w:tc>
          <w:tcPr>
            <w:tcW w:type="dxa" w:w="2650"/>
            <w:tcMar>
              <w:top w:type="dxa" w:w="80"/>
              <w:left w:type="dxa" w:w="100"/>
              <w:bottom w:type="dxa" w:w="80"/>
              <w:right w:type="dxa" w:w="100"/>
            </w:tcMar>
            <w:vAlign w:val="center"/>
          </w:tcPr>
          <w:p>
            <w:r>
              <w:rPr>
                <w:b w:val="false"/>
                <w:bCs w:val="false"/>
                <w:sz w:val="17"/>
                <w:szCs w:val="17"/>
              </w:rPr>
              <w:t xml:space="preserve">Ownership scoping; the healthQuality.eligible gate limits when health data actually reaches a prompt, but does not prevent DB-level exposure.</w:t>
            </w:r>
          </w:p>
        </w:tc>
        <w:tc>
          <w:tcPr>
            <w:tcW w:type="dxa" w:w="2460"/>
            <w:tcMar>
              <w:top w:type="dxa" w:w="80"/>
              <w:left w:type="dxa" w:w="100"/>
              <w:bottom w:type="dxa" w:w="80"/>
              <w:right w:type="dxa" w:w="100"/>
            </w:tcMar>
            <w:vAlign w:val="center"/>
          </w:tcPr>
          <w:p>
            <w:r>
              <w:rPr>
                <w:b w:val="false"/>
                <w:bCs w:val="false"/>
                <w:sz w:val="17"/>
                <w:szCs w:val="17"/>
              </w:rPr>
              <w:t xml:space="preserve">High.</w:t>
            </w:r>
          </w:p>
        </w:tc>
      </w:tr>
      <w:tr>
        <w:tc>
          <w:tcPr>
            <w:tcW w:type="dxa" w:w="900"/>
            <w:tcMar>
              <w:top w:type="dxa" w:w="80"/>
              <w:left w:type="dxa" w:w="100"/>
              <w:bottom w:type="dxa" w:w="80"/>
              <w:right w:type="dxa" w:w="100"/>
            </w:tcMar>
            <w:vAlign w:val="center"/>
          </w:tcPr>
          <w:p>
            <w:r>
              <w:rPr>
                <w:b/>
                <w:bCs/>
                <w:sz w:val="17"/>
                <w:szCs w:val="17"/>
              </w:rPr>
              <w:t xml:space="preserve">Modify</w:t>
            </w:r>
          </w:p>
        </w:tc>
        <w:tc>
          <w:tcPr>
            <w:tcW w:type="dxa" w:w="3350"/>
            <w:tcMar>
              <w:top w:type="dxa" w:w="80"/>
              <w:left w:type="dxa" w:w="100"/>
              <w:bottom w:type="dxa" w:w="80"/>
              <w:right w:type="dxa" w:w="100"/>
            </w:tcMar>
            <w:vAlign w:val="center"/>
          </w:tcPr>
          <w:p>
            <w:r>
              <w:rPr>
                <w:b w:val="false"/>
                <w:bCs w:val="false"/>
                <w:sz w:val="17"/>
                <w:szCs w:val="17"/>
              </w:rPr>
              <w:t xml:space="preserve">No write endpoint exists at all today — no remote tampering path for any attacker short of DB access.</w:t>
            </w:r>
          </w:p>
        </w:tc>
        <w:tc>
          <w:tcPr>
            <w:tcW w:type="dxa" w:w="2650"/>
            <w:tcMar>
              <w:top w:type="dxa" w:w="80"/>
              <w:left w:type="dxa" w:w="100"/>
              <w:bottom w:type="dxa" w:w="80"/>
              <w:right w:type="dxa" w:w="100"/>
            </w:tcMar>
            <w:vAlign w:val="center"/>
          </w:tcPr>
          <w:p>
            <w:r>
              <w:rPr>
                <w:b w:val="false"/>
                <w:bCs w:val="false"/>
                <w:sz w:val="17"/>
                <w:szCs w:val="17"/>
              </w:rPr>
              <w:t xml:space="preserve">Absence of a write endpoint.</w:t>
            </w:r>
          </w:p>
        </w:tc>
        <w:tc>
          <w:tcPr>
            <w:tcW w:type="dxa" w:w="2460"/>
            <w:tcMar>
              <w:top w:type="dxa" w:w="80"/>
              <w:left w:type="dxa" w:w="100"/>
              <w:bottom w:type="dxa" w:w="80"/>
              <w:right w:type="dxa" w:w="100"/>
            </w:tcMar>
            <w:vAlign w:val="center"/>
          </w:tcPr>
          <w:p>
            <w:r>
              <w:rPr>
                <w:b w:val="false"/>
                <w:bCs w:val="false"/>
                <w:sz w:val="17"/>
                <w:szCs w:val="17"/>
              </w:rPr>
              <w:t xml:space="preserve">Low remotely; High if DB access is obtained.</w:t>
            </w:r>
          </w:p>
        </w:tc>
      </w:tr>
      <w:tr>
        <w:tc>
          <w:tcPr>
            <w:tcW w:type="dxa" w:w="900"/>
            <w:tcMar>
              <w:top w:type="dxa" w:w="80"/>
              <w:left w:type="dxa" w:w="100"/>
              <w:bottom w:type="dxa" w:w="80"/>
              <w:right w:type="dxa" w:w="100"/>
            </w:tcMar>
            <w:vAlign w:val="center"/>
          </w:tcPr>
          <w:p>
            <w:r>
              <w:rPr>
                <w:b/>
                <w:bCs/>
                <w:sz w:val="17"/>
                <w:szCs w:val="17"/>
              </w:rPr>
              <w:t xml:space="preserve">Delete</w:t>
            </w:r>
          </w:p>
        </w:tc>
        <w:tc>
          <w:tcPr>
            <w:tcW w:type="dxa" w:w="3350"/>
            <w:tcMar>
              <w:top w:type="dxa" w:w="80"/>
              <w:left w:type="dxa" w:w="100"/>
              <w:bottom w:type="dxa" w:w="80"/>
              <w:right w:type="dxa" w:w="100"/>
            </w:tcMar>
            <w:vAlign w:val="center"/>
          </w:tcPr>
          <w:p>
            <w:r>
              <w:rPr>
                <w:b w:val="false"/>
                <w:bCs w:val="false"/>
                <w:sz w:val="17"/>
                <w:szCs w:val="17"/>
              </w:rPr>
              <w:t xml:space="preserve">Same — DB-level only (Database attacker, Insider).</w:t>
            </w:r>
          </w:p>
        </w:tc>
        <w:tc>
          <w:tcPr>
            <w:tcW w:type="dxa" w:w="2650"/>
            <w:tcMar>
              <w:top w:type="dxa" w:w="80"/>
              <w:left w:type="dxa" w:w="100"/>
              <w:bottom w:type="dxa" w:w="80"/>
              <w:right w:type="dxa" w:w="100"/>
            </w:tcMar>
            <w:vAlign w:val="center"/>
          </w:tcPr>
          <w:p>
            <w:r>
              <w:rPr>
                <w:b w:val="false"/>
                <w:bCs w:val="false"/>
                <w:sz w:val="17"/>
                <w:szCs w:val="17"/>
              </w:rPr>
              <w:t xml:space="preserve">None.</w:t>
            </w:r>
          </w:p>
        </w:tc>
        <w:tc>
          <w:tcPr>
            <w:tcW w:type="dxa" w:w="2460"/>
            <w:tcMar>
              <w:top w:type="dxa" w:w="80"/>
              <w:left w:type="dxa" w:w="100"/>
              <w:bottom w:type="dxa" w:w="80"/>
              <w:right w:type="dxa" w:w="100"/>
            </w:tcMar>
            <w:vAlign w:val="center"/>
          </w:tcPr>
          <w:p>
            <w:r>
              <w:rPr>
                <w:b w:val="false"/>
                <w:bCs w:val="false"/>
                <w:sz w:val="17"/>
                <w:szCs w:val="17"/>
              </w:rPr>
              <w:t xml:space="preserve">Low remotely; High if DB access is obtained.</w:t>
            </w:r>
          </w:p>
        </w:tc>
      </w:tr>
      <w:tr>
        <w:tc>
          <w:tcPr>
            <w:tcW w:type="dxa" w:w="900"/>
            <w:tcMar>
              <w:top w:type="dxa" w:w="80"/>
              <w:left w:type="dxa" w:w="100"/>
              <w:bottom w:type="dxa" w:w="80"/>
              <w:right w:type="dxa" w:w="100"/>
            </w:tcMar>
            <w:vAlign w:val="center"/>
          </w:tcPr>
          <w:p>
            <w:r>
              <w:rPr>
                <w:b/>
                <w:bCs/>
                <w:sz w:val="17"/>
                <w:szCs w:val="17"/>
              </w:rPr>
              <w:t xml:space="preserve">Misuse</w:t>
            </w:r>
          </w:p>
        </w:tc>
        <w:tc>
          <w:tcPr>
            <w:tcW w:type="dxa" w:w="3350"/>
            <w:tcMar>
              <w:top w:type="dxa" w:w="80"/>
              <w:left w:type="dxa" w:w="100"/>
              <w:bottom w:type="dxa" w:w="80"/>
              <w:right w:type="dxa" w:w="100"/>
            </w:tcMar>
            <w:vAlign w:val="center"/>
          </w:tcPr>
          <w:p>
            <w:r>
              <w:rPr>
                <w:b w:val="false"/>
                <w:bCs w:val="false"/>
                <w:sz w:val="17"/>
                <w:szCs w:val="17"/>
              </w:rPr>
              <w:t xml:space="preserve">If a future write endpoint is added without the same rigor as the rest of the app, falsified health data (e.g. by a Database attacker or Insider) could distort the wellness score and AI insights shown back to a real person — a uniquely damaging misuse for a mental/physical-wellness product (a gaslighting-style scenario in an abusive-relationship context).</w:t>
            </w:r>
          </w:p>
        </w:tc>
        <w:tc>
          <w:tcPr>
            <w:tcW w:type="dxa" w:w="2650"/>
            <w:tcMar>
              <w:top w:type="dxa" w:w="80"/>
              <w:left w:type="dxa" w:w="100"/>
              <w:bottom w:type="dxa" w:w="80"/>
              <w:right w:type="dxa" w:w="100"/>
            </w:tcMar>
            <w:vAlign w:val="center"/>
          </w:tcPr>
          <w:p>
            <w:r>
              <w:rPr>
                <w:b w:val="false"/>
                <w:bCs w:val="false"/>
                <w:sz w:val="17"/>
                <w:szCs w:val="17"/>
              </w:rPr>
              <w:t xml:space="preserve">N/A today, precisely because no write path exists yet.</w:t>
            </w:r>
          </w:p>
        </w:tc>
        <w:tc>
          <w:tcPr>
            <w:tcW w:type="dxa" w:w="2460"/>
            <w:tcMar>
              <w:top w:type="dxa" w:w="80"/>
              <w:left w:type="dxa" w:w="100"/>
              <w:bottom w:type="dxa" w:w="80"/>
              <w:right w:type="dxa" w:w="100"/>
            </w:tcMar>
            <w:vAlign w:val="center"/>
          </w:tcPr>
          <w:p>
            <w:r>
              <w:rPr>
                <w:b w:val="false"/>
                <w:bCs w:val="false"/>
                <w:sz w:val="17"/>
                <w:szCs w:val="17"/>
              </w:rPr>
              <w:t xml:space="preserve">Medium (forward-looking — becomes High the moment a write endpoint ships without equivalent safeguards).</w:t>
            </w:r>
          </w:p>
        </w:tc>
      </w:tr>
    </w:tbl>
    <w:p>
      <w:pPr>
        <w:pStyle w:val="Heading2"/>
        <w:spacing w:after="140" w:before="280"/>
      </w:pPr>
      <w:r>
        <w:t xml:space="preserve">Asset 6 · Chat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350"/>
        <w:gridCol w:w="2650"/>
        <w:gridCol w:w="2460"/>
      </w:tblGrid>
      <w:tr>
        <w:trPr>
          <w:tblHeader/>
        </w:trPr>
        <w:tc>
          <w:tcPr>
            <w:tcW w:type="dxa" w:w="900"/>
            <w:shd w:fill="D9D9D9" w:val="clear"/>
            <w:tcMar>
              <w:top w:type="dxa" w:w="80"/>
              <w:left w:type="dxa" w:w="100"/>
              <w:bottom w:type="dxa" w:w="80"/>
              <w:right w:type="dxa" w:w="100"/>
            </w:tcMar>
            <w:vAlign w:val="center"/>
          </w:tcPr>
          <w:p>
            <w:r>
              <w:rPr>
                <w:b/>
                <w:bCs/>
                <w:sz w:val="17"/>
                <w:szCs w:val="17"/>
              </w:rPr>
              <w:t xml:space="preserve">Action</w:t>
            </w:r>
          </w:p>
        </w:tc>
        <w:tc>
          <w:tcPr>
            <w:tcW w:type="dxa" w:w="3350"/>
            <w:shd w:fill="D9D9D9" w:val="clear"/>
            <w:tcMar>
              <w:top w:type="dxa" w:w="80"/>
              <w:left w:type="dxa" w:w="100"/>
              <w:bottom w:type="dxa" w:w="80"/>
              <w:right w:type="dxa" w:w="100"/>
            </w:tcMar>
            <w:vAlign w:val="center"/>
          </w:tcPr>
          <w:p>
            <w:r>
              <w:rPr>
                <w:b/>
                <w:bCs/>
                <w:sz w:val="17"/>
                <w:szCs w:val="17"/>
              </w:rPr>
              <w:t xml:space="preserve">Vector &amp; Attacker</w:t>
            </w:r>
          </w:p>
        </w:tc>
        <w:tc>
          <w:tcPr>
            <w:tcW w:type="dxa" w:w="2650"/>
            <w:shd w:fill="D9D9D9" w:val="clear"/>
            <w:tcMar>
              <w:top w:type="dxa" w:w="80"/>
              <w:left w:type="dxa" w:w="100"/>
              <w:bottom w:type="dxa" w:w="80"/>
              <w:right w:type="dxa" w:w="100"/>
            </w:tcMar>
            <w:vAlign w:val="center"/>
          </w:tcPr>
          <w:p>
            <w:r>
              <w:rPr>
                <w:b/>
                <w:bCs/>
                <w:sz w:val="17"/>
                <w:szCs w:val="17"/>
              </w:rPr>
              <w:t xml:space="preserve">Current Control</w:t>
            </w:r>
          </w:p>
        </w:tc>
        <w:tc>
          <w:tcPr>
            <w:tcW w:type="dxa" w:w="2460"/>
            <w:shd w:fill="D9D9D9" w:val="clear"/>
            <w:tcMar>
              <w:top w:type="dxa" w:w="80"/>
              <w:left w:type="dxa" w:w="100"/>
              <w:bottom w:type="dxa" w:w="80"/>
              <w:right w:type="dxa" w:w="100"/>
            </w:tcMar>
            <w:vAlign w:val="center"/>
          </w:tcPr>
          <w:p>
            <w:r>
              <w:rPr>
                <w:b/>
                <w:bCs/>
                <w:sz w:val="17"/>
                <w:szCs w:val="17"/>
              </w:rPr>
              <w:t xml:space="preserve">Residual Risk</w:t>
            </w:r>
          </w:p>
        </w:tc>
      </w:tr>
      <w:tr>
        <w:tc>
          <w:tcPr>
            <w:tcW w:type="dxa" w:w="900"/>
            <w:tcMar>
              <w:top w:type="dxa" w:w="80"/>
              <w:left w:type="dxa" w:w="100"/>
              <w:bottom w:type="dxa" w:w="80"/>
              <w:right w:type="dxa" w:w="100"/>
            </w:tcMar>
            <w:vAlign w:val="center"/>
          </w:tcPr>
          <w:p>
            <w:r>
              <w:rPr>
                <w:b/>
                <w:bCs/>
                <w:sz w:val="17"/>
                <w:szCs w:val="17"/>
              </w:rPr>
              <w:t xml:space="preserve">Steal</w:t>
            </w:r>
          </w:p>
        </w:tc>
        <w:tc>
          <w:tcPr>
            <w:tcW w:type="dxa" w:w="3350"/>
            <w:tcMar>
              <w:top w:type="dxa" w:w="80"/>
              <w:left w:type="dxa" w:w="100"/>
              <w:bottom w:type="dxa" w:w="80"/>
              <w:right w:type="dxa" w:w="100"/>
            </w:tcMar>
            <w:vAlign w:val="center"/>
          </w:tcPr>
          <w:p>
            <w:r>
              <w:rPr>
                <w:b w:val="false"/>
                <w:bCs w:val="false"/>
                <w:sz w:val="17"/>
                <w:szCs w:val="17"/>
              </w:rPr>
              <w:t xml:space="preserve">Via GET /api/chat/session (stolen/forged JWT) — returns the full turn history for that user. Via direct DB access. Via the cloud-LLM path, where each turn's context is transmitted per-message (Cloud AI provider).</w:t>
            </w:r>
          </w:p>
        </w:tc>
        <w:tc>
          <w:tcPr>
            <w:tcW w:type="dxa" w:w="2650"/>
            <w:tcMar>
              <w:top w:type="dxa" w:w="80"/>
              <w:left w:type="dxa" w:w="100"/>
              <w:bottom w:type="dxa" w:w="80"/>
              <w:right w:type="dxa" w:w="100"/>
            </w:tcMar>
            <w:vAlign w:val="center"/>
          </w:tcPr>
          <w:p>
            <w:r>
              <w:rPr>
                <w:b w:val="false"/>
                <w:bCs w:val="false"/>
                <w:sz w:val="17"/>
                <w:szCs w:val="17"/>
              </w:rPr>
              <w:t xml:space="preserve">Ownership scoping (userId, unique index).</w:t>
            </w:r>
          </w:p>
        </w:tc>
        <w:tc>
          <w:tcPr>
            <w:tcW w:type="dxa" w:w="2460"/>
            <w:tcMar>
              <w:top w:type="dxa" w:w="80"/>
              <w:left w:type="dxa" w:w="100"/>
              <w:bottom w:type="dxa" w:w="80"/>
              <w:right w:type="dxa" w:w="100"/>
            </w:tcMar>
            <w:vAlign w:val="center"/>
          </w:tcPr>
          <w:p>
            <w:r>
              <w:rPr>
                <w:b w:val="false"/>
                <w:bCs w:val="false"/>
                <w:sz w:val="17"/>
                <w:szCs w:val="17"/>
              </w:rPr>
              <w:t xml:space="preserve">High.</w:t>
            </w:r>
          </w:p>
        </w:tc>
      </w:tr>
      <w:tr>
        <w:tc>
          <w:tcPr>
            <w:tcW w:type="dxa" w:w="900"/>
            <w:tcMar>
              <w:top w:type="dxa" w:w="80"/>
              <w:left w:type="dxa" w:w="100"/>
              <w:bottom w:type="dxa" w:w="80"/>
              <w:right w:type="dxa" w:w="100"/>
            </w:tcMar>
            <w:vAlign w:val="center"/>
          </w:tcPr>
          <w:p>
            <w:r>
              <w:rPr>
                <w:b/>
                <w:bCs/>
                <w:sz w:val="17"/>
                <w:szCs w:val="17"/>
              </w:rPr>
              <w:t xml:space="preserve">Modify</w:t>
            </w:r>
          </w:p>
        </w:tc>
        <w:tc>
          <w:tcPr>
            <w:tcW w:type="dxa" w:w="3350"/>
            <w:tcMar>
              <w:top w:type="dxa" w:w="80"/>
              <w:left w:type="dxa" w:w="100"/>
              <w:bottom w:type="dxa" w:w="80"/>
              <w:right w:type="dxa" w:w="100"/>
            </w:tcMar>
            <w:vAlign w:val="center"/>
          </w:tcPr>
          <w:p>
            <w:r>
              <w:rPr>
                <w:b w:val="false"/>
                <w:bCs w:val="false"/>
                <w:sz w:val="17"/>
                <w:szCs w:val="17"/>
              </w:rPr>
              <w:t xml:space="preserve">The API only ever appends via $push in a findOneAndUpdate upsert — there is no edit path for past turns. Only direct DB writes (Database attacker, Insider) could rewrite history.</w:t>
            </w:r>
          </w:p>
        </w:tc>
        <w:tc>
          <w:tcPr>
            <w:tcW w:type="dxa" w:w="2650"/>
            <w:tcMar>
              <w:top w:type="dxa" w:w="80"/>
              <w:left w:type="dxa" w:w="100"/>
              <w:bottom w:type="dxa" w:w="80"/>
              <w:right w:type="dxa" w:w="100"/>
            </w:tcMar>
            <w:vAlign w:val="center"/>
          </w:tcPr>
          <w:p>
            <w:r>
              <w:rPr>
                <w:b w:val="false"/>
                <w:bCs w:val="false"/>
                <w:sz w:val="17"/>
                <w:szCs w:val="17"/>
              </w:rPr>
              <w:t xml:space="preserve">Append-only access pattern at the application layer.</w:t>
            </w:r>
          </w:p>
        </w:tc>
        <w:tc>
          <w:tcPr>
            <w:tcW w:type="dxa" w:w="2460"/>
            <w:tcMar>
              <w:top w:type="dxa" w:w="80"/>
              <w:left w:type="dxa" w:w="100"/>
              <w:bottom w:type="dxa" w:w="80"/>
              <w:right w:type="dxa" w:w="100"/>
            </w:tcMar>
            <w:vAlign w:val="center"/>
          </w:tcPr>
          <w:p>
            <w:r>
              <w:rPr>
                <w:b w:val="false"/>
                <w:bCs w:val="false"/>
                <w:sz w:val="17"/>
                <w:szCs w:val="17"/>
              </w:rPr>
              <w:t xml:space="preserve">Low remotely; High if DB access is obtained — nothing cross-validates ChatSession content against the independent AuditLog record to detect tampering.</w:t>
            </w:r>
          </w:p>
        </w:tc>
      </w:tr>
      <w:tr>
        <w:tc>
          <w:tcPr>
            <w:tcW w:type="dxa" w:w="900"/>
            <w:tcMar>
              <w:top w:type="dxa" w:w="80"/>
              <w:left w:type="dxa" w:w="100"/>
              <w:bottom w:type="dxa" w:w="80"/>
              <w:right w:type="dxa" w:w="100"/>
            </w:tcMar>
            <w:vAlign w:val="center"/>
          </w:tcPr>
          <w:p>
            <w:r>
              <w:rPr>
                <w:b/>
                <w:bCs/>
                <w:sz w:val="17"/>
                <w:szCs w:val="17"/>
              </w:rPr>
              <w:t xml:space="preserve">Delete</w:t>
            </w:r>
          </w:p>
        </w:tc>
        <w:tc>
          <w:tcPr>
            <w:tcW w:type="dxa" w:w="3350"/>
            <w:tcMar>
              <w:top w:type="dxa" w:w="80"/>
              <w:left w:type="dxa" w:w="100"/>
              <w:bottom w:type="dxa" w:w="80"/>
              <w:right w:type="dxa" w:w="100"/>
            </w:tcMar>
            <w:vAlign w:val="center"/>
          </w:tcPr>
          <w:p>
            <w:r>
              <w:rPr>
                <w:b w:val="false"/>
                <w:bCs w:val="false"/>
                <w:sz w:val="17"/>
                <w:szCs w:val="17"/>
              </w:rPr>
              <w:t xml:space="preserve">No delete endpoint; DB-level only.</w:t>
            </w:r>
          </w:p>
        </w:tc>
        <w:tc>
          <w:tcPr>
            <w:tcW w:type="dxa" w:w="2650"/>
            <w:tcMar>
              <w:top w:type="dxa" w:w="80"/>
              <w:left w:type="dxa" w:w="100"/>
              <w:bottom w:type="dxa" w:w="80"/>
              <w:right w:type="dxa" w:w="100"/>
            </w:tcMar>
            <w:vAlign w:val="center"/>
          </w:tcPr>
          <w:p>
            <w:r>
              <w:rPr>
                <w:b w:val="false"/>
                <w:bCs w:val="false"/>
                <w:sz w:val="17"/>
                <w:szCs w:val="17"/>
              </w:rPr>
              <w:t xml:space="preserve">None.</w:t>
            </w:r>
          </w:p>
        </w:tc>
        <w:tc>
          <w:tcPr>
            <w:tcW w:type="dxa" w:w="2460"/>
            <w:tcMar>
              <w:top w:type="dxa" w:w="80"/>
              <w:left w:type="dxa" w:w="100"/>
              <w:bottom w:type="dxa" w:w="80"/>
              <w:right w:type="dxa" w:w="100"/>
            </w:tcMar>
            <w:vAlign w:val="center"/>
          </w:tcPr>
          <w:p>
            <w:r>
              <w:rPr>
                <w:b w:val="false"/>
                <w:bCs w:val="false"/>
                <w:sz w:val="17"/>
                <w:szCs w:val="17"/>
              </w:rPr>
              <w:t xml:space="preserve">Low remotely; High if DB access is obtained.</w:t>
            </w:r>
          </w:p>
        </w:tc>
      </w:tr>
      <w:tr>
        <w:tc>
          <w:tcPr>
            <w:tcW w:type="dxa" w:w="900"/>
            <w:tcMar>
              <w:top w:type="dxa" w:w="80"/>
              <w:left w:type="dxa" w:w="100"/>
              <w:bottom w:type="dxa" w:w="80"/>
              <w:right w:type="dxa" w:w="100"/>
            </w:tcMar>
            <w:vAlign w:val="center"/>
          </w:tcPr>
          <w:p>
            <w:r>
              <w:rPr>
                <w:b/>
                <w:bCs/>
                <w:sz w:val="17"/>
                <w:szCs w:val="17"/>
              </w:rPr>
              <w:t xml:space="preserve">Misuse</w:t>
            </w:r>
          </w:p>
        </w:tc>
        <w:tc>
          <w:tcPr>
            <w:tcW w:type="dxa" w:w="3350"/>
            <w:tcMar>
              <w:top w:type="dxa" w:w="80"/>
              <w:left w:type="dxa" w:w="100"/>
              <w:bottom w:type="dxa" w:w="80"/>
              <w:right w:type="dxa" w:w="100"/>
            </w:tcMar>
            <w:vAlign w:val="center"/>
          </w:tcPr>
          <w:p>
            <w:r>
              <w:rPr>
                <w:b w:val="false"/>
                <w:bCs w:val="false"/>
                <w:sz w:val="17"/>
                <w:szCs w:val="17"/>
              </w:rPr>
              <w:t xml:space="preserve">Primary target of the Prompt injection attacker and AI jailbreak attempts actor — the free-text message field feeds directly into generateInsight()'s prompt. A successful jailbreak could produce manipulative, falsely authoritative, or diagnostic-sounding language that then sits permanently in the user's own history.</w:t>
            </w:r>
          </w:p>
        </w:tc>
        <w:tc>
          <w:tcPr>
            <w:tcW w:type="dxa" w:w="2650"/>
            <w:tcMar>
              <w:top w:type="dxa" w:w="80"/>
              <w:left w:type="dxa" w:w="100"/>
              <w:bottom w:type="dxa" w:w="80"/>
              <w:right w:type="dxa" w:w="100"/>
            </w:tcMar>
            <w:vAlign w:val="center"/>
          </w:tcPr>
          <w:p>
            <w:r>
              <w:rPr>
                <w:b w:val="false"/>
                <w:bCs w:val="false"/>
                <w:sz w:val="17"/>
                <w:szCs w:val="17"/>
              </w:rPr>
              <w:t xml:space="preserve">verifyInsight (evidence + confidence + health-eligibility gate) and scrubHealthReferences run after generation, before the response is shown or persisted.</w:t>
            </w:r>
          </w:p>
        </w:tc>
        <w:tc>
          <w:tcPr>
            <w:tcW w:type="dxa" w:w="2460"/>
            <w:tcMar>
              <w:top w:type="dxa" w:w="80"/>
              <w:left w:type="dxa" w:w="100"/>
              <w:bottom w:type="dxa" w:w="80"/>
              <w:right w:type="dxa" w:w="100"/>
            </w:tcMar>
            <w:vAlign w:val="center"/>
          </w:tcPr>
          <w:p>
            <w:r>
              <w:rPr>
                <w:b w:val="false"/>
                <w:bCs w:val="false"/>
                <w:sz w:val="17"/>
                <w:szCs w:val="17"/>
              </w:rPr>
              <w:t xml:space="preserve">Medium-High — the gates are real but rely partly on the model's own self-reported confidence (see Asset 8 / AI prompts).</w:t>
            </w:r>
          </w:p>
        </w:tc>
      </w:tr>
    </w:tbl>
    <w:p>
      <w:pPr>
        <w:pStyle w:val="Heading2"/>
        <w:spacing w:after="140" w:before="280"/>
      </w:pPr>
      <w:r>
        <w:t xml:space="preserve">Asset 7 · Audit logs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350"/>
        <w:gridCol w:w="2650"/>
        <w:gridCol w:w="2460"/>
      </w:tblGrid>
      <w:tr>
        <w:trPr>
          <w:tblHeader/>
        </w:trPr>
        <w:tc>
          <w:tcPr>
            <w:tcW w:type="dxa" w:w="900"/>
            <w:shd w:fill="D9D9D9" w:val="clear"/>
            <w:tcMar>
              <w:top w:type="dxa" w:w="80"/>
              <w:left w:type="dxa" w:w="100"/>
              <w:bottom w:type="dxa" w:w="80"/>
              <w:right w:type="dxa" w:w="100"/>
            </w:tcMar>
            <w:vAlign w:val="center"/>
          </w:tcPr>
          <w:p>
            <w:r>
              <w:rPr>
                <w:b/>
                <w:bCs/>
                <w:sz w:val="17"/>
                <w:szCs w:val="17"/>
              </w:rPr>
              <w:t xml:space="preserve">Action</w:t>
            </w:r>
          </w:p>
        </w:tc>
        <w:tc>
          <w:tcPr>
            <w:tcW w:type="dxa" w:w="3350"/>
            <w:shd w:fill="D9D9D9" w:val="clear"/>
            <w:tcMar>
              <w:top w:type="dxa" w:w="80"/>
              <w:left w:type="dxa" w:w="100"/>
              <w:bottom w:type="dxa" w:w="80"/>
              <w:right w:type="dxa" w:w="100"/>
            </w:tcMar>
            <w:vAlign w:val="center"/>
          </w:tcPr>
          <w:p>
            <w:r>
              <w:rPr>
                <w:b/>
                <w:bCs/>
                <w:sz w:val="17"/>
                <w:szCs w:val="17"/>
              </w:rPr>
              <w:t xml:space="preserve">Vector &amp; Attacker</w:t>
            </w:r>
          </w:p>
        </w:tc>
        <w:tc>
          <w:tcPr>
            <w:tcW w:type="dxa" w:w="2650"/>
            <w:shd w:fill="D9D9D9" w:val="clear"/>
            <w:tcMar>
              <w:top w:type="dxa" w:w="80"/>
              <w:left w:type="dxa" w:w="100"/>
              <w:bottom w:type="dxa" w:w="80"/>
              <w:right w:type="dxa" w:w="100"/>
            </w:tcMar>
            <w:vAlign w:val="center"/>
          </w:tcPr>
          <w:p>
            <w:r>
              <w:rPr>
                <w:b/>
                <w:bCs/>
                <w:sz w:val="17"/>
                <w:szCs w:val="17"/>
              </w:rPr>
              <w:t xml:space="preserve">Current Control</w:t>
            </w:r>
          </w:p>
        </w:tc>
        <w:tc>
          <w:tcPr>
            <w:tcW w:type="dxa" w:w="2460"/>
            <w:shd w:fill="D9D9D9" w:val="clear"/>
            <w:tcMar>
              <w:top w:type="dxa" w:w="80"/>
              <w:left w:type="dxa" w:w="100"/>
              <w:bottom w:type="dxa" w:w="80"/>
              <w:right w:type="dxa" w:w="100"/>
            </w:tcMar>
            <w:vAlign w:val="center"/>
          </w:tcPr>
          <w:p>
            <w:r>
              <w:rPr>
                <w:b/>
                <w:bCs/>
                <w:sz w:val="17"/>
                <w:szCs w:val="17"/>
              </w:rPr>
              <w:t xml:space="preserve">Residual Risk</w:t>
            </w:r>
          </w:p>
        </w:tc>
      </w:tr>
      <w:tr>
        <w:tc>
          <w:tcPr>
            <w:tcW w:type="dxa" w:w="900"/>
            <w:tcMar>
              <w:top w:type="dxa" w:w="80"/>
              <w:left w:type="dxa" w:w="100"/>
              <w:bottom w:type="dxa" w:w="80"/>
              <w:right w:type="dxa" w:w="100"/>
            </w:tcMar>
            <w:vAlign w:val="center"/>
          </w:tcPr>
          <w:p>
            <w:r>
              <w:rPr>
                <w:b/>
                <w:bCs/>
                <w:sz w:val="17"/>
                <w:szCs w:val="17"/>
              </w:rPr>
              <w:t xml:space="preserve">Steal</w:t>
            </w:r>
          </w:p>
        </w:tc>
        <w:tc>
          <w:tcPr>
            <w:tcW w:type="dxa" w:w="3350"/>
            <w:tcMar>
              <w:top w:type="dxa" w:w="80"/>
              <w:left w:type="dxa" w:w="100"/>
              <w:bottom w:type="dxa" w:w="80"/>
              <w:right w:type="dxa" w:w="100"/>
            </w:tcMar>
            <w:vAlign w:val="center"/>
          </w:tcPr>
          <w:p>
            <w:r>
              <w:rPr>
                <w:b w:val="false"/>
                <w:bCs w:val="false"/>
                <w:sz w:val="17"/>
                <w:szCs w:val="17"/>
              </w:rPr>
              <w:t xml:space="preserve">No API route exposes AuditLog to any client — confirmed no /api/audit-style endpoint is registered anywhere. The only path is direct DB access (Database attacker, Insider) or mishandled backups.</w:t>
            </w:r>
          </w:p>
        </w:tc>
        <w:tc>
          <w:tcPr>
            <w:tcW w:type="dxa" w:w="2650"/>
            <w:tcMar>
              <w:top w:type="dxa" w:w="80"/>
              <w:left w:type="dxa" w:w="100"/>
              <w:bottom w:type="dxa" w:w="80"/>
              <w:right w:type="dxa" w:w="100"/>
            </w:tcMar>
            <w:vAlign w:val="center"/>
          </w:tcPr>
          <w:p>
            <w:r>
              <w:rPr>
                <w:b w:val="false"/>
                <w:bCs w:val="false"/>
                <w:sz w:val="17"/>
                <w:szCs w:val="17"/>
              </w:rPr>
              <w:t xml:space="preserve">Simply never wired to a route — a strong containment property by omission.</w:t>
            </w:r>
          </w:p>
        </w:tc>
        <w:tc>
          <w:tcPr>
            <w:tcW w:type="dxa" w:w="2460"/>
            <w:tcMar>
              <w:top w:type="dxa" w:w="80"/>
              <w:left w:type="dxa" w:w="100"/>
              <w:bottom w:type="dxa" w:w="80"/>
              <w:right w:type="dxa" w:w="100"/>
            </w:tcMar>
            <w:vAlign w:val="center"/>
          </w:tcPr>
          <w:p>
            <w:r>
              <w:rPr>
                <w:b w:val="false"/>
                <w:bCs w:val="false"/>
                <w:sz w:val="17"/>
                <w:szCs w:val="17"/>
              </w:rPr>
              <w:t xml:space="preserve">Low remotely; High if DB access is obtained.</w:t>
            </w:r>
          </w:p>
        </w:tc>
      </w:tr>
      <w:tr>
        <w:tc>
          <w:tcPr>
            <w:tcW w:type="dxa" w:w="900"/>
            <w:tcMar>
              <w:top w:type="dxa" w:w="80"/>
              <w:left w:type="dxa" w:w="100"/>
              <w:bottom w:type="dxa" w:w="80"/>
              <w:right w:type="dxa" w:w="100"/>
            </w:tcMar>
            <w:vAlign w:val="center"/>
          </w:tcPr>
          <w:p>
            <w:r>
              <w:rPr>
                <w:b/>
                <w:bCs/>
                <w:sz w:val="17"/>
                <w:szCs w:val="17"/>
              </w:rPr>
              <w:t xml:space="preserve">Modify</w:t>
            </w:r>
          </w:p>
        </w:tc>
        <w:tc>
          <w:tcPr>
            <w:tcW w:type="dxa" w:w="3350"/>
            <w:tcMar>
              <w:top w:type="dxa" w:w="80"/>
              <w:left w:type="dxa" w:w="100"/>
              <w:bottom w:type="dxa" w:w="80"/>
              <w:right w:type="dxa" w:w="100"/>
            </w:tcMar>
            <w:vAlign w:val="center"/>
          </w:tcPr>
          <w:p>
            <w:r>
              <w:rPr>
                <w:b w:val="false"/>
                <w:bCs w:val="false"/>
                <w:sz w:val="17"/>
                <w:szCs w:val="17"/>
              </w:rPr>
              <w:t xml:space="preserve">Same — only an Insider/Database attacker with write access could alter a policyDecisions or status field, which would undermine the log's purpose as a compliance trail.</w:t>
            </w:r>
          </w:p>
        </w:tc>
        <w:tc>
          <w:tcPr>
            <w:tcW w:type="dxa" w:w="2650"/>
            <w:tcMar>
              <w:top w:type="dxa" w:w="80"/>
              <w:left w:type="dxa" w:w="100"/>
              <w:bottom w:type="dxa" w:w="80"/>
              <w:right w:type="dxa" w:w="100"/>
            </w:tcMar>
            <w:vAlign w:val="center"/>
          </w:tcPr>
          <w:p>
            <w:r>
              <w:rPr>
                <w:b w:val="false"/>
                <w:bCs w:val="false"/>
                <w:sz w:val="17"/>
                <w:szCs w:val="17"/>
              </w:rPr>
              <w:t xml:space="preserve">No write-once/append-only enforcement (no capped collection, no external log shipping, no hash-chaining) — a capable insider could edit history without detection.</w:t>
            </w:r>
          </w:p>
        </w:tc>
        <w:tc>
          <w:tcPr>
            <w:tcW w:type="dxa" w:w="2460"/>
            <w:tcMar>
              <w:top w:type="dxa" w:w="80"/>
              <w:left w:type="dxa" w:w="100"/>
              <w:bottom w:type="dxa" w:w="80"/>
              <w:right w:type="dxa" w:w="100"/>
            </w:tcMar>
            <w:vAlign w:val="center"/>
          </w:tcPr>
          <w:p>
            <w:r>
              <w:rPr>
                <w:b w:val="false"/>
                <w:bCs w:val="false"/>
                <w:sz w:val="17"/>
                <w:szCs w:val="17"/>
              </w:rPr>
              <w:t xml:space="preserve">Medium (low likelihood given required access level, but no integrity control if that access is obtained).</w:t>
            </w:r>
          </w:p>
        </w:tc>
      </w:tr>
      <w:tr>
        <w:tc>
          <w:tcPr>
            <w:tcW w:type="dxa" w:w="900"/>
            <w:tcMar>
              <w:top w:type="dxa" w:w="80"/>
              <w:left w:type="dxa" w:w="100"/>
              <w:bottom w:type="dxa" w:w="80"/>
              <w:right w:type="dxa" w:w="100"/>
            </w:tcMar>
            <w:vAlign w:val="center"/>
          </w:tcPr>
          <w:p>
            <w:r>
              <w:rPr>
                <w:b/>
                <w:bCs/>
                <w:sz w:val="17"/>
                <w:szCs w:val="17"/>
              </w:rPr>
              <w:t xml:space="preserve">Delete</w:t>
            </w:r>
          </w:p>
        </w:tc>
        <w:tc>
          <w:tcPr>
            <w:tcW w:type="dxa" w:w="3350"/>
            <w:tcMar>
              <w:top w:type="dxa" w:w="80"/>
              <w:left w:type="dxa" w:w="100"/>
              <w:bottom w:type="dxa" w:w="80"/>
              <w:right w:type="dxa" w:w="100"/>
            </w:tcMar>
            <w:vAlign w:val="center"/>
          </w:tcPr>
          <w:p>
            <w:r>
              <w:rPr>
                <w:b w:val="false"/>
                <w:bCs w:val="false"/>
                <w:sz w:val="17"/>
                <w:szCs w:val="17"/>
              </w:rPr>
              <w:t xml:space="preserve">Same access requirement; no retention/archival policy exists either, so there's also no legitimate deletion path (Phase-1 F-22).</w:t>
            </w:r>
          </w:p>
        </w:tc>
        <w:tc>
          <w:tcPr>
            <w:tcW w:type="dxa" w:w="2650"/>
            <w:tcMar>
              <w:top w:type="dxa" w:w="80"/>
              <w:left w:type="dxa" w:w="100"/>
              <w:bottom w:type="dxa" w:w="80"/>
              <w:right w:type="dxa" w:w="100"/>
            </w:tcMar>
            <w:vAlign w:val="center"/>
          </w:tcPr>
          <w:p>
            <w:r>
              <w:rPr>
                <w:b w:val="false"/>
                <w:bCs w:val="false"/>
                <w:sz w:val="17"/>
                <w:szCs w:val="17"/>
              </w:rPr>
              <w:t xml:space="preserve">None.</w:t>
            </w:r>
          </w:p>
        </w:tc>
        <w:tc>
          <w:tcPr>
            <w:tcW w:type="dxa" w:w="2460"/>
            <w:tcMar>
              <w:top w:type="dxa" w:w="80"/>
              <w:left w:type="dxa" w:w="100"/>
              <w:bottom w:type="dxa" w:w="80"/>
              <w:right w:type="dxa" w:w="100"/>
            </w:tcMar>
            <w:vAlign w:val="center"/>
          </w:tcPr>
          <w:p>
            <w:r>
              <w:rPr>
                <w:b w:val="false"/>
                <w:bCs w:val="false"/>
                <w:sz w:val="17"/>
                <w:szCs w:val="17"/>
              </w:rPr>
              <w:t xml:space="preserve">Low remotely; Medium if DB access is obtained.</w:t>
            </w:r>
          </w:p>
        </w:tc>
      </w:tr>
      <w:tr>
        <w:tc>
          <w:tcPr>
            <w:tcW w:type="dxa" w:w="900"/>
            <w:tcMar>
              <w:top w:type="dxa" w:w="80"/>
              <w:left w:type="dxa" w:w="100"/>
              <w:bottom w:type="dxa" w:w="80"/>
              <w:right w:type="dxa" w:w="100"/>
            </w:tcMar>
            <w:vAlign w:val="center"/>
          </w:tcPr>
          <w:p>
            <w:r>
              <w:rPr>
                <w:b/>
                <w:bCs/>
                <w:sz w:val="17"/>
                <w:szCs w:val="17"/>
              </w:rPr>
              <w:t xml:space="preserve">Misuse</w:t>
            </w:r>
          </w:p>
        </w:tc>
        <w:tc>
          <w:tcPr>
            <w:tcW w:type="dxa" w:w="3350"/>
            <w:tcMar>
              <w:top w:type="dxa" w:w="80"/>
              <w:left w:type="dxa" w:w="100"/>
              <w:bottom w:type="dxa" w:w="80"/>
              <w:right w:type="dxa" w:w="100"/>
            </w:tcMar>
            <w:vAlign w:val="center"/>
          </w:tcPr>
          <w:p>
            <w:r>
              <w:rPr>
                <w:b w:val="false"/>
                <w:bCs w:val="false"/>
                <w:sz w:val="17"/>
                <w:szCs w:val="17"/>
              </w:rPr>
              <w:t xml:space="preserve">retrievedMemoryIds, detectedPatterns, and policyDecisions together let an Insider reconstruct a detailed picture of a user's mental-health patterns purely from 'administrative' data, without ever touching the user-facing collections — a privacy exposure path distinct from and additional to the primary data stores.</w:t>
            </w:r>
          </w:p>
        </w:tc>
        <w:tc>
          <w:tcPr>
            <w:tcW w:type="dxa" w:w="2650"/>
            <w:tcMar>
              <w:top w:type="dxa" w:w="80"/>
              <w:left w:type="dxa" w:w="100"/>
              <w:bottom w:type="dxa" w:w="80"/>
              <w:right w:type="dxa" w:w="100"/>
            </w:tcMar>
            <w:vAlign w:val="center"/>
          </w:tcPr>
          <w:p>
            <w:r>
              <w:rPr>
                <w:b w:val="false"/>
                <w:bCs w:val="false"/>
                <w:sz w:val="17"/>
                <w:szCs w:val="17"/>
              </w:rPr>
              <w:t xml:space="preserve">None specific to this collection beyond general DB access control.</w:t>
            </w:r>
          </w:p>
        </w:tc>
        <w:tc>
          <w:tcPr>
            <w:tcW w:type="dxa" w:w="2460"/>
            <w:tcMar>
              <w:top w:type="dxa" w:w="80"/>
              <w:left w:type="dxa" w:w="100"/>
              <w:bottom w:type="dxa" w:w="80"/>
              <w:right w:type="dxa" w:w="100"/>
            </w:tcMar>
            <w:vAlign w:val="center"/>
          </w:tcPr>
          <w:p>
            <w:r>
              <w:rPr>
                <w:b w:val="false"/>
                <w:bCs w:val="false"/>
                <w:sz w:val="17"/>
                <w:szCs w:val="17"/>
              </w:rPr>
              <w:t xml:space="preserve">Medium.</w:t>
            </w:r>
          </w:p>
        </w:tc>
      </w:tr>
    </w:tbl>
    <w:p>
      <w:pPr>
        <w:pStyle w:val="Heading2"/>
        <w:spacing w:after="140" w:before="280"/>
      </w:pPr>
      <w:r>
        <w:t xml:space="preserve">Asset 8 · AI prompts</w:t>
      </w:r>
    </w:p>
    <w:p>
      <w:pPr>
        <w:spacing w:after="160" w:line="276"/>
      </w:pPr>
      <w:r>
        <w:t xml:space="preserve">Prompts are constructed per-request and not persisted as a discrete object — "stealing" or "deleting" a prompt is only meaningful in terms of the source data (journal/chat) that feeds it, covered above.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350"/>
        <w:gridCol w:w="2650"/>
        <w:gridCol w:w="2460"/>
      </w:tblGrid>
      <w:tr>
        <w:trPr>
          <w:tblHeader/>
        </w:trPr>
        <w:tc>
          <w:tcPr>
            <w:tcW w:type="dxa" w:w="900"/>
            <w:shd w:fill="D9D9D9" w:val="clear"/>
            <w:tcMar>
              <w:top w:type="dxa" w:w="80"/>
              <w:left w:type="dxa" w:w="100"/>
              <w:bottom w:type="dxa" w:w="80"/>
              <w:right w:type="dxa" w:w="100"/>
            </w:tcMar>
            <w:vAlign w:val="center"/>
          </w:tcPr>
          <w:p>
            <w:r>
              <w:rPr>
                <w:b/>
                <w:bCs/>
                <w:sz w:val="17"/>
                <w:szCs w:val="17"/>
              </w:rPr>
              <w:t xml:space="preserve">Action</w:t>
            </w:r>
          </w:p>
        </w:tc>
        <w:tc>
          <w:tcPr>
            <w:tcW w:type="dxa" w:w="3350"/>
            <w:shd w:fill="D9D9D9" w:val="clear"/>
            <w:tcMar>
              <w:top w:type="dxa" w:w="80"/>
              <w:left w:type="dxa" w:w="100"/>
              <w:bottom w:type="dxa" w:w="80"/>
              <w:right w:type="dxa" w:w="100"/>
            </w:tcMar>
            <w:vAlign w:val="center"/>
          </w:tcPr>
          <w:p>
            <w:r>
              <w:rPr>
                <w:b/>
                <w:bCs/>
                <w:sz w:val="17"/>
                <w:szCs w:val="17"/>
              </w:rPr>
              <w:t xml:space="preserve">Vector &amp; Attacker</w:t>
            </w:r>
          </w:p>
        </w:tc>
        <w:tc>
          <w:tcPr>
            <w:tcW w:type="dxa" w:w="2650"/>
            <w:shd w:fill="D9D9D9" w:val="clear"/>
            <w:tcMar>
              <w:top w:type="dxa" w:w="80"/>
              <w:left w:type="dxa" w:w="100"/>
              <w:bottom w:type="dxa" w:w="80"/>
              <w:right w:type="dxa" w:w="100"/>
            </w:tcMar>
            <w:vAlign w:val="center"/>
          </w:tcPr>
          <w:p>
            <w:r>
              <w:rPr>
                <w:b/>
                <w:bCs/>
                <w:sz w:val="17"/>
                <w:szCs w:val="17"/>
              </w:rPr>
              <w:t xml:space="preserve">Current Control</w:t>
            </w:r>
          </w:p>
        </w:tc>
        <w:tc>
          <w:tcPr>
            <w:tcW w:type="dxa" w:w="2460"/>
            <w:shd w:fill="D9D9D9" w:val="clear"/>
            <w:tcMar>
              <w:top w:type="dxa" w:w="80"/>
              <w:left w:type="dxa" w:w="100"/>
              <w:bottom w:type="dxa" w:w="80"/>
              <w:right w:type="dxa" w:w="100"/>
            </w:tcMar>
            <w:vAlign w:val="center"/>
          </w:tcPr>
          <w:p>
            <w:r>
              <w:rPr>
                <w:b/>
                <w:bCs/>
                <w:sz w:val="17"/>
                <w:szCs w:val="17"/>
              </w:rPr>
              <w:t xml:space="preserve">Residual Risk</w:t>
            </w:r>
          </w:p>
        </w:tc>
      </w:tr>
      <w:tr>
        <w:tc>
          <w:tcPr>
            <w:tcW w:type="dxa" w:w="900"/>
            <w:tcMar>
              <w:top w:type="dxa" w:w="80"/>
              <w:left w:type="dxa" w:w="100"/>
              <w:bottom w:type="dxa" w:w="80"/>
              <w:right w:type="dxa" w:w="100"/>
            </w:tcMar>
            <w:vAlign w:val="center"/>
          </w:tcPr>
          <w:p>
            <w:r>
              <w:rPr>
                <w:b/>
                <w:bCs/>
                <w:sz w:val="17"/>
                <w:szCs w:val="17"/>
              </w:rPr>
              <w:t xml:space="preserve">Steal</w:t>
            </w:r>
          </w:p>
        </w:tc>
        <w:tc>
          <w:tcPr>
            <w:tcW w:type="dxa" w:w="3350"/>
            <w:tcMar>
              <w:top w:type="dxa" w:w="80"/>
              <w:left w:type="dxa" w:w="100"/>
              <w:bottom w:type="dxa" w:w="80"/>
              <w:right w:type="dxa" w:w="100"/>
            </w:tcMar>
            <w:vAlign w:val="center"/>
          </w:tcPr>
          <w:p>
            <w:r>
              <w:rPr>
                <w:b w:val="false"/>
                <w:bCs w:val="false"/>
                <w:sz w:val="17"/>
                <w:szCs w:val="17"/>
              </w:rPr>
              <w:t xml:space="preserve">The full prompt — including the embedded system 'Rules' text, journal quotes, and health context — is structurally visible to whichever LLM provider processes it (Cloud AI provider, by design, every time the cloud fallback path is used).</w:t>
            </w:r>
          </w:p>
        </w:tc>
        <w:tc>
          <w:tcPr>
            <w:tcW w:type="dxa" w:w="2650"/>
            <w:tcMar>
              <w:top w:type="dxa" w:w="80"/>
              <w:left w:type="dxa" w:w="100"/>
              <w:bottom w:type="dxa" w:w="80"/>
              <w:right w:type="dxa" w:w="100"/>
            </w:tcMar>
            <w:vAlign w:val="center"/>
          </w:tcPr>
          <w:p>
            <w:r>
              <w:rPr>
                <w:b w:val="false"/>
                <w:bCs w:val="false"/>
                <w:sz w:val="17"/>
                <w:szCs w:val="17"/>
              </w:rPr>
              <w:t xml:space="preserve">Ollama-first ordering keeps most turns local when available; nothing prevents the cloud path from seeing the same context Ollama would have seen.</w:t>
            </w:r>
          </w:p>
        </w:tc>
        <w:tc>
          <w:tcPr>
            <w:tcW w:type="dxa" w:w="2460"/>
            <w:tcMar>
              <w:top w:type="dxa" w:w="80"/>
              <w:left w:type="dxa" w:w="100"/>
              <w:bottom w:type="dxa" w:w="80"/>
              <w:right w:type="dxa" w:w="100"/>
            </w:tcMar>
            <w:vAlign w:val="center"/>
          </w:tcPr>
          <w:p>
            <w:r>
              <w:rPr>
                <w:b w:val="false"/>
                <w:bCs w:val="false"/>
                <w:sz w:val="17"/>
                <w:szCs w:val="17"/>
              </w:rPr>
              <w:t xml:space="preserve">High when the cloud fallback is in use (see Asset 4/5).</w:t>
            </w:r>
          </w:p>
        </w:tc>
      </w:tr>
      <w:tr>
        <w:tc>
          <w:tcPr>
            <w:tcW w:type="dxa" w:w="900"/>
            <w:tcMar>
              <w:top w:type="dxa" w:w="80"/>
              <w:left w:type="dxa" w:w="100"/>
              <w:bottom w:type="dxa" w:w="80"/>
              <w:right w:type="dxa" w:w="100"/>
            </w:tcMar>
            <w:vAlign w:val="center"/>
          </w:tcPr>
          <w:p>
            <w:r>
              <w:rPr>
                <w:b/>
                <w:bCs/>
                <w:sz w:val="17"/>
                <w:szCs w:val="17"/>
              </w:rPr>
              <w:t xml:space="preserve">Modify</w:t>
            </w:r>
          </w:p>
        </w:tc>
        <w:tc>
          <w:tcPr>
            <w:tcW w:type="dxa" w:w="3350"/>
            <w:tcMar>
              <w:top w:type="dxa" w:w="80"/>
              <w:left w:type="dxa" w:w="100"/>
              <w:bottom w:type="dxa" w:w="80"/>
              <w:right w:type="dxa" w:w="100"/>
            </w:tcMar>
            <w:vAlign w:val="center"/>
          </w:tcPr>
          <w:p>
            <w:r>
              <w:rPr>
                <w:b w:val="false"/>
                <w:bCs w:val="false"/>
                <w:sz w:val="17"/>
                <w:szCs w:val="17"/>
              </w:rPr>
              <w:t xml:space="preserve">An attacker cannot alter the system-prompt text without deploy/code access (Insider). A Prompt injection attacker effectively modifies the *effective* prompt by embedding instructions inside journal content or the chat message, which are concatenated into the same string with no delimiter.</w:t>
            </w:r>
          </w:p>
        </w:tc>
        <w:tc>
          <w:tcPr>
            <w:tcW w:type="dxa" w:w="2650"/>
            <w:tcMar>
              <w:top w:type="dxa" w:w="80"/>
              <w:left w:type="dxa" w:w="100"/>
              <w:bottom w:type="dxa" w:w="80"/>
              <w:right w:type="dxa" w:w="100"/>
            </w:tcMar>
            <w:vAlign w:val="center"/>
          </w:tcPr>
          <w:p>
            <w:r>
              <w:rPr>
                <w:b w:val="false"/>
                <w:bCs w:val="false"/>
                <w:sz w:val="17"/>
                <w:szCs w:val="17"/>
              </w:rPr>
              <w:t xml:space="preserve">None at the prompt-construction layer — the app relies entirely on post-generation checks (verifyInsight, scrubHealthReferences) rather than input sanitization or delimiting.</w:t>
            </w:r>
          </w:p>
        </w:tc>
        <w:tc>
          <w:tcPr>
            <w:tcW w:type="dxa" w:w="2460"/>
            <w:tcMar>
              <w:top w:type="dxa" w:w="80"/>
              <w:left w:type="dxa" w:w="100"/>
              <w:bottom w:type="dxa" w:w="80"/>
              <w:right w:type="dxa" w:w="100"/>
            </w:tcMar>
            <w:vAlign w:val="center"/>
          </w:tcPr>
          <w:p>
            <w:r>
              <w:rPr>
                <w:b w:val="false"/>
                <w:bCs w:val="false"/>
                <w:sz w:val="17"/>
                <w:szCs w:val="17"/>
              </w:rPr>
              <w:t xml:space="preserve">Medium-High.</w:t>
            </w:r>
          </w:p>
        </w:tc>
      </w:tr>
      <w:tr>
        <w:tc>
          <w:tcPr>
            <w:tcW w:type="dxa" w:w="900"/>
            <w:tcMar>
              <w:top w:type="dxa" w:w="80"/>
              <w:left w:type="dxa" w:w="100"/>
              <w:bottom w:type="dxa" w:w="80"/>
              <w:right w:type="dxa" w:w="100"/>
            </w:tcMar>
            <w:vAlign w:val="center"/>
          </w:tcPr>
          <w:p>
            <w:r>
              <w:rPr>
                <w:b/>
                <w:bCs/>
                <w:sz w:val="17"/>
                <w:szCs w:val="17"/>
              </w:rPr>
              <w:t xml:space="preserve">Delete</w:t>
            </w:r>
          </w:p>
        </w:tc>
        <w:tc>
          <w:tcPr>
            <w:tcW w:type="dxa" w:w="3350"/>
            <w:tcMar>
              <w:top w:type="dxa" w:w="80"/>
              <w:left w:type="dxa" w:w="100"/>
              <w:bottom w:type="dxa" w:w="80"/>
              <w:right w:type="dxa" w:w="100"/>
            </w:tcMar>
            <w:vAlign w:val="center"/>
          </w:tcPr>
          <w:p>
            <w:r>
              <w:rPr>
                <w:b w:val="false"/>
                <w:bCs w:val="false"/>
                <w:sz w:val="17"/>
                <w:szCs w:val="17"/>
              </w:rPr>
              <w:t xml:space="preserve">N/A — prompts are ephemeral; the underlying source data they're built from has its own delete analysis (see Assets 4/5/6, all currently non-deletable via the API).</w:t>
            </w:r>
          </w:p>
        </w:tc>
        <w:tc>
          <w:tcPr>
            <w:tcW w:type="dxa" w:w="2650"/>
            <w:tcMar>
              <w:top w:type="dxa" w:w="80"/>
              <w:left w:type="dxa" w:w="100"/>
              <w:bottom w:type="dxa" w:w="80"/>
              <w:right w:type="dxa" w:w="100"/>
            </w:tcMar>
            <w:vAlign w:val="center"/>
          </w:tcPr>
          <w:p>
            <w:r>
              <w:rPr>
                <w:b w:val="false"/>
                <w:bCs w:val="false"/>
                <w:sz w:val="17"/>
                <w:szCs w:val="17"/>
              </w:rPr>
              <w:t xml:space="preserve">N/A.</w:t>
            </w:r>
          </w:p>
        </w:tc>
        <w:tc>
          <w:tcPr>
            <w:tcW w:type="dxa" w:w="2460"/>
            <w:tcMar>
              <w:top w:type="dxa" w:w="80"/>
              <w:left w:type="dxa" w:w="100"/>
              <w:bottom w:type="dxa" w:w="80"/>
              <w:right w:type="dxa" w:w="100"/>
            </w:tcMar>
            <w:vAlign w:val="center"/>
          </w:tcPr>
          <w:p>
            <w:r>
              <w:rPr>
                <w:b w:val="false"/>
                <w:bCs w:val="false"/>
                <w:sz w:val="17"/>
                <w:szCs w:val="17"/>
              </w:rPr>
              <w:t xml:space="preserve">Low.</w:t>
            </w:r>
          </w:p>
        </w:tc>
      </w:tr>
      <w:tr>
        <w:tc>
          <w:tcPr>
            <w:tcW w:type="dxa" w:w="900"/>
            <w:tcMar>
              <w:top w:type="dxa" w:w="80"/>
              <w:left w:type="dxa" w:w="100"/>
              <w:bottom w:type="dxa" w:w="80"/>
              <w:right w:type="dxa" w:w="100"/>
            </w:tcMar>
            <w:vAlign w:val="center"/>
          </w:tcPr>
          <w:p>
            <w:r>
              <w:rPr>
                <w:b/>
                <w:bCs/>
                <w:sz w:val="17"/>
                <w:szCs w:val="17"/>
              </w:rPr>
              <w:t xml:space="preserve">Misuse</w:t>
            </w:r>
          </w:p>
        </w:tc>
        <w:tc>
          <w:tcPr>
            <w:tcW w:type="dxa" w:w="3350"/>
            <w:tcMar>
              <w:top w:type="dxa" w:w="80"/>
              <w:left w:type="dxa" w:w="100"/>
              <w:bottom w:type="dxa" w:w="80"/>
              <w:right w:type="dxa" w:w="100"/>
            </w:tcMar>
            <w:vAlign w:val="center"/>
          </w:tcPr>
          <w:p>
            <w:r>
              <w:rPr>
                <w:b w:val="false"/>
                <w:bCs w:val="false"/>
                <w:sz w:val="17"/>
                <w:szCs w:val="17"/>
              </w:rPr>
              <w:t xml:space="preserve">AI jailbreak attempts specifically target the 'never diagnose / never prescribe / never give medical advice' rules, or try to get the model to repeat its system instructions verbatim back to the user.</w:t>
            </w:r>
          </w:p>
        </w:tc>
        <w:tc>
          <w:tcPr>
            <w:tcW w:type="dxa" w:w="2650"/>
            <w:tcMar>
              <w:top w:type="dxa" w:w="80"/>
              <w:left w:type="dxa" w:w="100"/>
              <w:bottom w:type="dxa" w:w="80"/>
              <w:right w:type="dxa" w:w="100"/>
            </w:tcMar>
            <w:vAlign w:val="center"/>
          </w:tcPr>
          <w:p>
            <w:r>
              <w:rPr>
                <w:b w:val="false"/>
                <w:bCs w:val="false"/>
                <w:sz w:val="17"/>
                <w:szCs w:val="17"/>
              </w:rPr>
              <w:t xml:space="preserve">Deterministic gate (verifyInsight) checks evidence presence, a confidence threshold, and health-claim eligibility — but does not check for leaked system-prompt content or soft (non-keyword) medical-sounding language.</w:t>
            </w:r>
          </w:p>
        </w:tc>
        <w:tc>
          <w:tcPr>
            <w:tcW w:type="dxa" w:w="2460"/>
            <w:tcMar>
              <w:top w:type="dxa" w:w="80"/>
              <w:left w:type="dxa" w:w="100"/>
              <w:bottom w:type="dxa" w:w="80"/>
              <w:right w:type="dxa" w:w="100"/>
            </w:tcMar>
            <w:vAlign w:val="center"/>
          </w:tcPr>
          <w:p>
            <w:r>
              <w:rPr>
                <w:b w:val="false"/>
                <w:bCs w:val="false"/>
                <w:sz w:val="17"/>
                <w:szCs w:val="17"/>
              </w:rPr>
              <w:t xml:space="preserve">Medium — contained, not eliminated.</w:t>
            </w:r>
          </w:p>
        </w:tc>
      </w:tr>
    </w:tbl>
    <w:p>
      <w:pPr>
        <w:pStyle w:val="Heading2"/>
        <w:spacing w:after="140" w:before="280"/>
      </w:pPr>
      <w:r>
        <w:t xml:space="preserve">Asset 9 ·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350"/>
        <w:gridCol w:w="2650"/>
        <w:gridCol w:w="2460"/>
      </w:tblGrid>
      <w:tr>
        <w:trPr>
          <w:tblHeader/>
        </w:trPr>
        <w:tc>
          <w:tcPr>
            <w:tcW w:type="dxa" w:w="900"/>
            <w:shd w:fill="D9D9D9" w:val="clear"/>
            <w:tcMar>
              <w:top w:type="dxa" w:w="80"/>
              <w:left w:type="dxa" w:w="100"/>
              <w:bottom w:type="dxa" w:w="80"/>
              <w:right w:type="dxa" w:w="100"/>
            </w:tcMar>
            <w:vAlign w:val="center"/>
          </w:tcPr>
          <w:p>
            <w:r>
              <w:rPr>
                <w:b/>
                <w:bCs/>
                <w:sz w:val="17"/>
                <w:szCs w:val="17"/>
              </w:rPr>
              <w:t xml:space="preserve">Action</w:t>
            </w:r>
          </w:p>
        </w:tc>
        <w:tc>
          <w:tcPr>
            <w:tcW w:type="dxa" w:w="3350"/>
            <w:shd w:fill="D9D9D9" w:val="clear"/>
            <w:tcMar>
              <w:top w:type="dxa" w:w="80"/>
              <w:left w:type="dxa" w:w="100"/>
              <w:bottom w:type="dxa" w:w="80"/>
              <w:right w:type="dxa" w:w="100"/>
            </w:tcMar>
            <w:vAlign w:val="center"/>
          </w:tcPr>
          <w:p>
            <w:r>
              <w:rPr>
                <w:b/>
                <w:bCs/>
                <w:sz w:val="17"/>
                <w:szCs w:val="17"/>
              </w:rPr>
              <w:t xml:space="preserve">Vector &amp; Attacker</w:t>
            </w:r>
          </w:p>
        </w:tc>
        <w:tc>
          <w:tcPr>
            <w:tcW w:type="dxa" w:w="2650"/>
            <w:shd w:fill="D9D9D9" w:val="clear"/>
            <w:tcMar>
              <w:top w:type="dxa" w:w="80"/>
              <w:left w:type="dxa" w:w="100"/>
              <w:bottom w:type="dxa" w:w="80"/>
              <w:right w:type="dxa" w:w="100"/>
            </w:tcMar>
            <w:vAlign w:val="center"/>
          </w:tcPr>
          <w:p>
            <w:r>
              <w:rPr>
                <w:b/>
                <w:bCs/>
                <w:sz w:val="17"/>
                <w:szCs w:val="17"/>
              </w:rPr>
              <w:t xml:space="preserve">Current Control</w:t>
            </w:r>
          </w:p>
        </w:tc>
        <w:tc>
          <w:tcPr>
            <w:tcW w:type="dxa" w:w="2460"/>
            <w:shd w:fill="D9D9D9" w:val="clear"/>
            <w:tcMar>
              <w:top w:type="dxa" w:w="80"/>
              <w:left w:type="dxa" w:w="100"/>
              <w:bottom w:type="dxa" w:w="80"/>
              <w:right w:type="dxa" w:w="100"/>
            </w:tcMar>
            <w:vAlign w:val="center"/>
          </w:tcPr>
          <w:p>
            <w:r>
              <w:rPr>
                <w:b/>
                <w:bCs/>
                <w:sz w:val="17"/>
                <w:szCs w:val="17"/>
              </w:rPr>
              <w:t xml:space="preserve">Residual Risk</w:t>
            </w:r>
          </w:p>
        </w:tc>
      </w:tr>
      <w:tr>
        <w:tc>
          <w:tcPr>
            <w:tcW w:type="dxa" w:w="900"/>
            <w:tcMar>
              <w:top w:type="dxa" w:w="80"/>
              <w:left w:type="dxa" w:w="100"/>
              <w:bottom w:type="dxa" w:w="80"/>
              <w:right w:type="dxa" w:w="100"/>
            </w:tcMar>
            <w:vAlign w:val="center"/>
          </w:tcPr>
          <w:p>
            <w:r>
              <w:rPr>
                <w:b/>
                <w:bCs/>
                <w:sz w:val="17"/>
                <w:szCs w:val="17"/>
              </w:rPr>
              <w:t xml:space="preserve">Steal</w:t>
            </w:r>
          </w:p>
        </w:tc>
        <w:tc>
          <w:tcPr>
            <w:tcW w:type="dxa" w:w="3350"/>
            <w:tcMar>
              <w:top w:type="dxa" w:w="80"/>
              <w:left w:type="dxa" w:w="100"/>
              <w:bottom w:type="dxa" w:w="80"/>
              <w:right w:type="dxa" w:w="100"/>
            </w:tcMar>
            <w:vAlign w:val="center"/>
          </w:tcPr>
          <w:p>
            <w:r>
              <w:rPr>
                <w:b w:val="false"/>
                <w:bCs w:val="false"/>
                <w:sz w:val="17"/>
                <w:szCs w:val="17"/>
              </w:rPr>
              <w:t xml:space="preserve">Filesystem/process access (Insider, or any future RCE — none found in this review). Accidental commit to git — checked and confirmed clean (.env is gitignored and absent from git history). Leakage via verbose error responses — checked; errorHandler passes err.message/details but no evidence of raw env values leaking through current error paths.</w:t>
            </w:r>
          </w:p>
        </w:tc>
        <w:tc>
          <w:tcPr>
            <w:tcW w:type="dxa" w:w="2650"/>
            <w:tcMar>
              <w:top w:type="dxa" w:w="80"/>
              <w:left w:type="dxa" w:w="100"/>
              <w:bottom w:type="dxa" w:w="80"/>
              <w:right w:type="dxa" w:w="100"/>
            </w:tcMar>
            <w:vAlign w:val="center"/>
          </w:tcPr>
          <w:p>
            <w:r>
              <w:rPr>
                <w:b w:val="false"/>
                <w:bCs w:val="false"/>
                <w:sz w:val="17"/>
                <w:szCs w:val="17"/>
              </w:rPr>
              <w:t xml:space="preserve">.gitignore correctly excludes .env; startup.js fails closed (throws and exits) if required vars are missing, rather than silently falling back to an insecure default.</w:t>
            </w:r>
          </w:p>
        </w:tc>
        <w:tc>
          <w:tcPr>
            <w:tcW w:type="dxa" w:w="2460"/>
            <w:tcMar>
              <w:top w:type="dxa" w:w="80"/>
              <w:left w:type="dxa" w:w="100"/>
              <w:bottom w:type="dxa" w:w="80"/>
              <w:right w:type="dxa" w:w="100"/>
            </w:tcMar>
            <w:vAlign w:val="center"/>
          </w:tcPr>
          <w:p>
            <w:r>
              <w:rPr>
                <w:b w:val="false"/>
                <w:bCs w:val="false"/>
                <w:sz w:val="17"/>
                <w:szCs w:val="17"/>
              </w:rPr>
              <w:t xml:space="preserve">Critical if host/deploy access is ever obtained (Insider) — this is the single point of failure behind nearly every other asset; Low otherwise given current git hygiene.</w:t>
            </w:r>
          </w:p>
        </w:tc>
      </w:tr>
      <w:tr>
        <w:tc>
          <w:tcPr>
            <w:tcW w:type="dxa" w:w="900"/>
            <w:tcMar>
              <w:top w:type="dxa" w:w="80"/>
              <w:left w:type="dxa" w:w="100"/>
              <w:bottom w:type="dxa" w:w="80"/>
              <w:right w:type="dxa" w:w="100"/>
            </w:tcMar>
            <w:vAlign w:val="center"/>
          </w:tcPr>
          <w:p>
            <w:r>
              <w:rPr>
                <w:b/>
                <w:bCs/>
                <w:sz w:val="17"/>
                <w:szCs w:val="17"/>
              </w:rPr>
              <w:t xml:space="preserve">Modify</w:t>
            </w:r>
          </w:p>
        </w:tc>
        <w:tc>
          <w:tcPr>
            <w:tcW w:type="dxa" w:w="3350"/>
            <w:tcMar>
              <w:top w:type="dxa" w:w="80"/>
              <w:left w:type="dxa" w:w="100"/>
              <w:bottom w:type="dxa" w:w="80"/>
              <w:right w:type="dxa" w:w="100"/>
            </w:tcMar>
            <w:vAlign w:val="center"/>
          </w:tcPr>
          <w:p>
            <w:r>
              <w:rPr>
                <w:b w:val="false"/>
                <w:bCs w:val="false"/>
                <w:sz w:val="17"/>
                <w:szCs w:val="17"/>
              </w:rPr>
              <w:t xml:space="preserve">Requires host/filesystem access — no runtime API path reads or writes environment variables.</w:t>
            </w:r>
          </w:p>
        </w:tc>
        <w:tc>
          <w:tcPr>
            <w:tcW w:type="dxa" w:w="2650"/>
            <w:tcMar>
              <w:top w:type="dxa" w:w="80"/>
              <w:left w:type="dxa" w:w="100"/>
              <w:bottom w:type="dxa" w:w="80"/>
              <w:right w:type="dxa" w:w="100"/>
            </w:tcMar>
            <w:vAlign w:val="center"/>
          </w:tcPr>
          <w:p>
            <w:r>
              <w:rPr>
                <w:b w:val="false"/>
                <w:bCs w:val="false"/>
                <w:sz w:val="17"/>
                <w:szCs w:val="17"/>
              </w:rPr>
              <w:t xml:space="preserve">No such endpoint exists (accidental containment).</w:t>
            </w:r>
          </w:p>
        </w:tc>
        <w:tc>
          <w:tcPr>
            <w:tcW w:type="dxa" w:w="2460"/>
            <w:tcMar>
              <w:top w:type="dxa" w:w="80"/>
              <w:left w:type="dxa" w:w="100"/>
              <w:bottom w:type="dxa" w:w="80"/>
              <w:right w:type="dxa" w:w="100"/>
            </w:tcMar>
            <w:vAlign w:val="center"/>
          </w:tcPr>
          <w:p>
            <w:r>
              <w:rPr>
                <w:b w:val="false"/>
                <w:bCs w:val="false"/>
                <w:sz w:val="17"/>
                <w:szCs w:val="17"/>
              </w:rPr>
              <w:t xml:space="preserve">Low remotely; Critical if host access is obtained.</w:t>
            </w:r>
          </w:p>
        </w:tc>
      </w:tr>
      <w:tr>
        <w:tc>
          <w:tcPr>
            <w:tcW w:type="dxa" w:w="900"/>
            <w:tcMar>
              <w:top w:type="dxa" w:w="80"/>
              <w:left w:type="dxa" w:w="100"/>
              <w:bottom w:type="dxa" w:w="80"/>
              <w:right w:type="dxa" w:w="100"/>
            </w:tcMar>
            <w:vAlign w:val="center"/>
          </w:tcPr>
          <w:p>
            <w:r>
              <w:rPr>
                <w:b/>
                <w:bCs/>
                <w:sz w:val="17"/>
                <w:szCs w:val="17"/>
              </w:rPr>
              <w:t xml:space="preserve">Delete</w:t>
            </w:r>
          </w:p>
        </w:tc>
        <w:tc>
          <w:tcPr>
            <w:tcW w:type="dxa" w:w="3350"/>
            <w:tcMar>
              <w:top w:type="dxa" w:w="80"/>
              <w:left w:type="dxa" w:w="100"/>
              <w:bottom w:type="dxa" w:w="80"/>
              <w:right w:type="dxa" w:w="100"/>
            </w:tcMar>
            <w:vAlign w:val="center"/>
          </w:tcPr>
          <w:p>
            <w:r>
              <w:rPr>
                <w:b w:val="false"/>
                <w:bCs w:val="false"/>
                <w:sz w:val="17"/>
                <w:szCs w:val="17"/>
              </w:rPr>
              <w:t xml:space="preserve">Same — host-level only.</w:t>
            </w:r>
          </w:p>
        </w:tc>
        <w:tc>
          <w:tcPr>
            <w:tcW w:type="dxa" w:w="2650"/>
            <w:tcMar>
              <w:top w:type="dxa" w:w="80"/>
              <w:left w:type="dxa" w:w="100"/>
              <w:bottom w:type="dxa" w:w="80"/>
              <w:right w:type="dxa" w:w="100"/>
            </w:tcMar>
            <w:vAlign w:val="center"/>
          </w:tcPr>
          <w:p>
            <w:r>
              <w:rPr>
                <w:b w:val="false"/>
                <w:bCs w:val="false"/>
                <w:sz w:val="17"/>
                <w:szCs w:val="17"/>
              </w:rPr>
              <w:t xml:space="preserve">startup.js crashes safely on missing required vars rather than continuing insecurely.</w:t>
            </w:r>
          </w:p>
        </w:tc>
        <w:tc>
          <w:tcPr>
            <w:tcW w:type="dxa" w:w="2460"/>
            <w:tcMar>
              <w:top w:type="dxa" w:w="80"/>
              <w:left w:type="dxa" w:w="100"/>
              <w:bottom w:type="dxa" w:w="80"/>
              <w:right w:type="dxa" w:w="100"/>
            </w:tcMar>
            <w:vAlign w:val="center"/>
          </w:tcPr>
          <w:p>
            <w:r>
              <w:rPr>
                <w:b w:val="false"/>
                <w:bCs w:val="false"/>
                <w:sz w:val="17"/>
                <w:szCs w:val="17"/>
              </w:rPr>
              <w:t xml:space="preserve">Low — fail-closed behavior is a genuine positive control here.</w:t>
            </w:r>
          </w:p>
        </w:tc>
      </w:tr>
      <w:tr>
        <w:tc>
          <w:tcPr>
            <w:tcW w:type="dxa" w:w="900"/>
            <w:tcMar>
              <w:top w:type="dxa" w:w="80"/>
              <w:left w:type="dxa" w:w="100"/>
              <w:bottom w:type="dxa" w:w="80"/>
              <w:right w:type="dxa" w:w="100"/>
            </w:tcMar>
            <w:vAlign w:val="center"/>
          </w:tcPr>
          <w:p>
            <w:r>
              <w:rPr>
                <w:b/>
                <w:bCs/>
                <w:sz w:val="17"/>
                <w:szCs w:val="17"/>
              </w:rPr>
              <w:t xml:space="preserve">Misuse</w:t>
            </w:r>
          </w:p>
        </w:tc>
        <w:tc>
          <w:tcPr>
            <w:tcW w:type="dxa" w:w="3350"/>
            <w:tcMar>
              <w:top w:type="dxa" w:w="80"/>
              <w:left w:type="dxa" w:w="100"/>
              <w:bottom w:type="dxa" w:w="80"/>
              <w:right w:type="dxa" w:w="100"/>
            </w:tcMar>
            <w:vAlign w:val="center"/>
          </w:tcPr>
          <w:p>
            <w:r>
              <w:rPr>
                <w:b w:val="false"/>
                <w:bCs w:val="false"/>
                <w:sz w:val="17"/>
                <w:szCs w:val="17"/>
              </w:rPr>
              <w:t xml:space="preserve">Whoever holds OPENAI_API_KEY/GEMINI_API_KEY can run up billing or use the org's account for unrelated generations entirely outside the app (Insider, or anyone who obtains a leaked key). Whoever holds MONGO_URI bypasses the application layer entirely (Database attacker).</w:t>
            </w:r>
          </w:p>
        </w:tc>
        <w:tc>
          <w:tcPr>
            <w:tcW w:type="dxa" w:w="2650"/>
            <w:tcMar>
              <w:top w:type="dxa" w:w="80"/>
              <w:left w:type="dxa" w:w="100"/>
              <w:bottom w:type="dxa" w:w="80"/>
              <w:right w:type="dxa" w:w="100"/>
            </w:tcMar>
            <w:vAlign w:val="center"/>
          </w:tcPr>
          <w:p>
            <w:r>
              <w:rPr>
                <w:b w:val="false"/>
                <w:bCs w:val="false"/>
                <w:sz w:val="17"/>
                <w:szCs w:val="17"/>
              </w:rPr>
              <w:t xml:space="preserve">None beyond standard secret hygiene; no per-key usage alerting visible in this codebase.</w:t>
            </w:r>
          </w:p>
        </w:tc>
        <w:tc>
          <w:tcPr>
            <w:tcW w:type="dxa" w:w="2460"/>
            <w:tcMar>
              <w:top w:type="dxa" w:w="80"/>
              <w:left w:type="dxa" w:w="100"/>
              <w:bottom w:type="dxa" w:w="80"/>
              <w:right w:type="dxa" w:w="100"/>
            </w:tcMar>
            <w:vAlign w:val="center"/>
          </w:tcPr>
          <w:p>
            <w:r>
              <w:rPr>
                <w:b w:val="false"/>
                <w:bCs w:val="false"/>
                <w:sz w:val="17"/>
                <w:szCs w:val="17"/>
              </w:rPr>
              <w:t xml:space="preserve">High — and specifically Critical right now for JWT_SECRET, since the local .env still holds the literal placeholder value from the public .env.example (see Phase 1, F-02).</w:t>
            </w:r>
          </w:p>
        </w:tc>
      </w:tr>
    </w:tbl>
    <w:p>
      <w:pPr>
        <w:pStyle w:val="Heading2"/>
        <w:spacing w:after="140" w:before="280"/>
      </w:pPr>
      <w:r>
        <w:t xml:space="preserve">Asset 10 · MongoDB</w:t>
      </w:r>
    </w:p>
    <w:p>
      <w:pPr>
        <w:spacing w:after="160" w:line="276"/>
      </w:pPr>
      <w:r>
        <w:t xml:space="preserve">The highest blast-radius asset in this entire model: application-layer controls (ownership scoping, Zod validation, rate limiting) protect against a Logged-in malicious user or Stolen JWT holder, but every one of those controls is bypassed simultaneously by anyone who reaches the database directly.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350"/>
        <w:gridCol w:w="2650"/>
        <w:gridCol w:w="2460"/>
      </w:tblGrid>
      <w:tr>
        <w:trPr>
          <w:tblHeader/>
        </w:trPr>
        <w:tc>
          <w:tcPr>
            <w:tcW w:type="dxa" w:w="900"/>
            <w:shd w:fill="D9D9D9" w:val="clear"/>
            <w:tcMar>
              <w:top w:type="dxa" w:w="80"/>
              <w:left w:type="dxa" w:w="100"/>
              <w:bottom w:type="dxa" w:w="80"/>
              <w:right w:type="dxa" w:w="100"/>
            </w:tcMar>
            <w:vAlign w:val="center"/>
          </w:tcPr>
          <w:p>
            <w:r>
              <w:rPr>
                <w:b/>
                <w:bCs/>
                <w:sz w:val="17"/>
                <w:szCs w:val="17"/>
              </w:rPr>
              <w:t xml:space="preserve">Action</w:t>
            </w:r>
          </w:p>
        </w:tc>
        <w:tc>
          <w:tcPr>
            <w:tcW w:type="dxa" w:w="3350"/>
            <w:shd w:fill="D9D9D9" w:val="clear"/>
            <w:tcMar>
              <w:top w:type="dxa" w:w="80"/>
              <w:left w:type="dxa" w:w="100"/>
              <w:bottom w:type="dxa" w:w="80"/>
              <w:right w:type="dxa" w:w="100"/>
            </w:tcMar>
            <w:vAlign w:val="center"/>
          </w:tcPr>
          <w:p>
            <w:r>
              <w:rPr>
                <w:b/>
                <w:bCs/>
                <w:sz w:val="17"/>
                <w:szCs w:val="17"/>
              </w:rPr>
              <w:t xml:space="preserve">Vector &amp; Attacker</w:t>
            </w:r>
          </w:p>
        </w:tc>
        <w:tc>
          <w:tcPr>
            <w:tcW w:type="dxa" w:w="2650"/>
            <w:shd w:fill="D9D9D9" w:val="clear"/>
            <w:tcMar>
              <w:top w:type="dxa" w:w="80"/>
              <w:left w:type="dxa" w:w="100"/>
              <w:bottom w:type="dxa" w:w="80"/>
              <w:right w:type="dxa" w:w="100"/>
            </w:tcMar>
            <w:vAlign w:val="center"/>
          </w:tcPr>
          <w:p>
            <w:r>
              <w:rPr>
                <w:b/>
                <w:bCs/>
                <w:sz w:val="17"/>
                <w:szCs w:val="17"/>
              </w:rPr>
              <w:t xml:space="preserve">Current Control</w:t>
            </w:r>
          </w:p>
        </w:tc>
        <w:tc>
          <w:tcPr>
            <w:tcW w:type="dxa" w:w="2460"/>
            <w:shd w:fill="D9D9D9" w:val="clear"/>
            <w:tcMar>
              <w:top w:type="dxa" w:w="80"/>
              <w:left w:type="dxa" w:w="100"/>
              <w:bottom w:type="dxa" w:w="80"/>
              <w:right w:type="dxa" w:w="100"/>
            </w:tcMar>
            <w:vAlign w:val="center"/>
          </w:tcPr>
          <w:p>
            <w:r>
              <w:rPr>
                <w:b/>
                <w:bCs/>
                <w:sz w:val="17"/>
                <w:szCs w:val="17"/>
              </w:rPr>
              <w:t xml:space="preserve">Residual Risk</w:t>
            </w:r>
          </w:p>
        </w:tc>
      </w:tr>
      <w:tr>
        <w:tc>
          <w:tcPr>
            <w:tcW w:type="dxa" w:w="900"/>
            <w:tcMar>
              <w:top w:type="dxa" w:w="80"/>
              <w:left w:type="dxa" w:w="100"/>
              <w:bottom w:type="dxa" w:w="80"/>
              <w:right w:type="dxa" w:w="100"/>
            </w:tcMar>
            <w:vAlign w:val="center"/>
          </w:tcPr>
          <w:p>
            <w:r>
              <w:rPr>
                <w:b/>
                <w:bCs/>
                <w:sz w:val="17"/>
                <w:szCs w:val="17"/>
              </w:rPr>
              <w:t xml:space="preserve">Steal</w:t>
            </w:r>
          </w:p>
        </w:tc>
        <w:tc>
          <w:tcPr>
            <w:tcW w:type="dxa" w:w="3350"/>
            <w:tcMar>
              <w:top w:type="dxa" w:w="80"/>
              <w:left w:type="dxa" w:w="100"/>
              <w:bottom w:type="dxa" w:w="80"/>
              <w:right w:type="dxa" w:w="100"/>
            </w:tcMar>
            <w:vAlign w:val="center"/>
          </w:tcPr>
          <w:p>
            <w:r>
              <w:rPr>
                <w:b w:val="false"/>
                <w:bCs w:val="false"/>
                <w:sz w:val="17"/>
                <w:szCs w:val="17"/>
              </w:rPr>
              <w:t xml:space="preserve">Via a leaked MONGO_URI (see Asset 9). Via an exposed/unauthenticated MongoDB instance reachable from the internet — a common real-world misconfiguration class; production network posture was not verifiable in this code-only review (Database attacker).</w:t>
            </w:r>
          </w:p>
        </w:tc>
        <w:tc>
          <w:tcPr>
            <w:tcW w:type="dxa" w:w="2650"/>
            <w:tcMar>
              <w:top w:type="dxa" w:w="80"/>
              <w:left w:type="dxa" w:w="100"/>
              <w:bottom w:type="dxa" w:w="80"/>
              <w:right w:type="dxa" w:w="100"/>
            </w:tcMar>
            <w:vAlign w:val="center"/>
          </w:tcPr>
          <w:p>
            <w:r>
              <w:rPr>
                <w:b w:val="false"/>
                <w:bCs w:val="false"/>
                <w:sz w:val="17"/>
                <w:szCs w:val="17"/>
              </w:rPr>
              <w:t xml:space="preserve">The example config points at a local, unauthenticated instance (mongodb://127.0.0.1:27017/reflectai) — appropriate for dev, but nothing in the codebase enforces stronger settings in production.</w:t>
            </w:r>
          </w:p>
        </w:tc>
        <w:tc>
          <w:tcPr>
            <w:tcW w:type="dxa" w:w="2460"/>
            <w:tcMar>
              <w:top w:type="dxa" w:w="80"/>
              <w:left w:type="dxa" w:w="100"/>
              <w:bottom w:type="dxa" w:w="80"/>
              <w:right w:type="dxa" w:w="100"/>
            </w:tcMar>
            <w:vAlign w:val="center"/>
          </w:tcPr>
          <w:p>
            <w:r>
              <w:rPr>
                <w:b w:val="false"/>
                <w:bCs w:val="false"/>
                <w:sz w:val="17"/>
                <w:szCs w:val="17"/>
              </w:rPr>
              <w:t xml:space="preserve">Critical if a production instance is ever exposed or its credential leaked — unverified either way from this review.</w:t>
            </w:r>
          </w:p>
        </w:tc>
      </w:tr>
      <w:tr>
        <w:tc>
          <w:tcPr>
            <w:tcW w:type="dxa" w:w="900"/>
            <w:tcMar>
              <w:top w:type="dxa" w:w="80"/>
              <w:left w:type="dxa" w:w="100"/>
              <w:bottom w:type="dxa" w:w="80"/>
              <w:right w:type="dxa" w:w="100"/>
            </w:tcMar>
            <w:vAlign w:val="center"/>
          </w:tcPr>
          <w:p>
            <w:r>
              <w:rPr>
                <w:b/>
                <w:bCs/>
                <w:sz w:val="17"/>
                <w:szCs w:val="17"/>
              </w:rPr>
              <w:t xml:space="preserve">Modify / Delete</w:t>
            </w:r>
          </w:p>
        </w:tc>
        <w:tc>
          <w:tcPr>
            <w:tcW w:type="dxa" w:w="3350"/>
            <w:tcMar>
              <w:top w:type="dxa" w:w="80"/>
              <w:left w:type="dxa" w:w="100"/>
              <w:bottom w:type="dxa" w:w="80"/>
              <w:right w:type="dxa" w:w="100"/>
            </w:tcMar>
            <w:vAlign w:val="center"/>
          </w:tcPr>
          <w:p>
            <w:r>
              <w:rPr>
                <w:b w:val="false"/>
                <w:bCs w:val="false"/>
                <w:sz w:val="17"/>
                <w:szCs w:val="17"/>
              </w:rPr>
              <w:t xml:space="preserve">Identical access path to Steal — a Database attacker or Insider with a working connection string has unrestricted write/delete across every collection at once.</w:t>
            </w:r>
          </w:p>
        </w:tc>
        <w:tc>
          <w:tcPr>
            <w:tcW w:type="dxa" w:w="2650"/>
            <w:tcMar>
              <w:top w:type="dxa" w:w="80"/>
              <w:left w:type="dxa" w:w="100"/>
              <w:bottom w:type="dxa" w:w="80"/>
              <w:right w:type="dxa" w:w="100"/>
            </w:tcMar>
            <w:vAlign w:val="center"/>
          </w:tcPr>
          <w:p>
            <w:r>
              <w:rPr>
                <w:b w:val="false"/>
                <w:bCs w:val="false"/>
                <w:sz w:val="17"/>
                <w:szCs w:val="17"/>
              </w:rPr>
              <w:t xml:space="preserve">No least-privilege separation visible (the app appears to use a single full-access credential for all collections); no row-level security.</w:t>
            </w:r>
          </w:p>
        </w:tc>
        <w:tc>
          <w:tcPr>
            <w:tcW w:type="dxa" w:w="2460"/>
            <w:tcMar>
              <w:top w:type="dxa" w:w="80"/>
              <w:left w:type="dxa" w:w="100"/>
              <w:bottom w:type="dxa" w:w="80"/>
              <w:right w:type="dxa" w:w="100"/>
            </w:tcMar>
            <w:vAlign w:val="center"/>
          </w:tcPr>
          <w:p>
            <w:r>
              <w:rPr>
                <w:b w:val="false"/>
                <w:bCs w:val="false"/>
                <w:sz w:val="17"/>
                <w:szCs w:val="17"/>
              </w:rPr>
              <w:t xml:space="preserve">Critical.</w:t>
            </w:r>
          </w:p>
        </w:tc>
      </w:tr>
      <w:tr>
        <w:tc>
          <w:tcPr>
            <w:tcW w:type="dxa" w:w="900"/>
            <w:tcMar>
              <w:top w:type="dxa" w:w="80"/>
              <w:left w:type="dxa" w:w="100"/>
              <w:bottom w:type="dxa" w:w="80"/>
              <w:right w:type="dxa" w:w="100"/>
            </w:tcMar>
            <w:vAlign w:val="center"/>
          </w:tcPr>
          <w:p>
            <w:r>
              <w:rPr>
                <w:b/>
                <w:bCs/>
                <w:sz w:val="17"/>
                <w:szCs w:val="17"/>
              </w:rPr>
              <w:t xml:space="preserve">Misuse</w:t>
            </w:r>
          </w:p>
        </w:tc>
        <w:tc>
          <w:tcPr>
            <w:tcW w:type="dxa" w:w="3350"/>
            <w:tcMar>
              <w:top w:type="dxa" w:w="80"/>
              <w:left w:type="dxa" w:w="100"/>
              <w:bottom w:type="dxa" w:w="80"/>
              <w:right w:type="dxa" w:w="100"/>
            </w:tcMar>
            <w:vAlign w:val="center"/>
          </w:tcPr>
          <w:p>
            <w:r>
              <w:rPr>
                <w:b w:val="false"/>
                <w:bCs w:val="false"/>
                <w:sz w:val="17"/>
                <w:szCs w:val="17"/>
              </w:rPr>
              <w:t xml:space="preserve">Lateral exposure across every user simultaneously, not just one account — categorically worse than any single stolen JWT, since a JWT compromise is scoped to one identity while a Mongo compromise sees the whole system at once.</w:t>
            </w:r>
          </w:p>
        </w:tc>
        <w:tc>
          <w:tcPr>
            <w:tcW w:type="dxa" w:w="2650"/>
            <w:tcMar>
              <w:top w:type="dxa" w:w="80"/>
              <w:left w:type="dxa" w:w="100"/>
              <w:bottom w:type="dxa" w:w="80"/>
              <w:right w:type="dxa" w:w="100"/>
            </w:tcMar>
            <w:vAlign w:val="center"/>
          </w:tcPr>
          <w:p>
            <w:r>
              <w:rPr>
                <w:b w:val="false"/>
                <w:bCs w:val="false"/>
                <w:sz w:val="17"/>
                <w:szCs w:val="17"/>
              </w:rPr>
              <w:t xml:space="preserve">None at the database layer within this codebase's control; entirely a deployment/hosting responsibility.</w:t>
            </w:r>
          </w:p>
        </w:tc>
        <w:tc>
          <w:tcPr>
            <w:tcW w:type="dxa" w:w="2460"/>
            <w:tcMar>
              <w:top w:type="dxa" w:w="80"/>
              <w:left w:type="dxa" w:w="100"/>
              <w:bottom w:type="dxa" w:w="80"/>
              <w:right w:type="dxa" w:w="100"/>
            </w:tcMar>
            <w:vAlign w:val="center"/>
          </w:tcPr>
          <w:p>
            <w:r>
              <w:rPr>
                <w:b w:val="false"/>
                <w:bCs w:val="false"/>
                <w:sz w:val="17"/>
                <w:szCs w:val="17"/>
              </w:rPr>
              <w:t xml:space="preserve">Critical.</w:t>
            </w:r>
          </w:p>
        </w:tc>
      </w:tr>
    </w:tbl>
    <w:p>
      <w:pPr>
        <w:pStyle w:val="Heading2"/>
        <w:spacing w:after="140" w:before="280"/>
      </w:pPr>
      <w:r>
        <w:t xml:space="preserve">Asset 11 · Ollama endpoint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350"/>
        <w:gridCol w:w="2650"/>
        <w:gridCol w:w="2460"/>
      </w:tblGrid>
      <w:tr>
        <w:trPr>
          <w:tblHeader/>
        </w:trPr>
        <w:tc>
          <w:tcPr>
            <w:tcW w:type="dxa" w:w="900"/>
            <w:shd w:fill="D9D9D9" w:val="clear"/>
            <w:tcMar>
              <w:top w:type="dxa" w:w="80"/>
              <w:left w:type="dxa" w:w="100"/>
              <w:bottom w:type="dxa" w:w="80"/>
              <w:right w:type="dxa" w:w="100"/>
            </w:tcMar>
            <w:vAlign w:val="center"/>
          </w:tcPr>
          <w:p>
            <w:r>
              <w:rPr>
                <w:b/>
                <w:bCs/>
                <w:sz w:val="17"/>
                <w:szCs w:val="17"/>
              </w:rPr>
              <w:t xml:space="preserve">Action</w:t>
            </w:r>
          </w:p>
        </w:tc>
        <w:tc>
          <w:tcPr>
            <w:tcW w:type="dxa" w:w="3350"/>
            <w:shd w:fill="D9D9D9" w:val="clear"/>
            <w:tcMar>
              <w:top w:type="dxa" w:w="80"/>
              <w:left w:type="dxa" w:w="100"/>
              <w:bottom w:type="dxa" w:w="80"/>
              <w:right w:type="dxa" w:w="100"/>
            </w:tcMar>
            <w:vAlign w:val="center"/>
          </w:tcPr>
          <w:p>
            <w:r>
              <w:rPr>
                <w:b/>
                <w:bCs/>
                <w:sz w:val="17"/>
                <w:szCs w:val="17"/>
              </w:rPr>
              <w:t xml:space="preserve">Vector &amp; Attacker</w:t>
            </w:r>
          </w:p>
        </w:tc>
        <w:tc>
          <w:tcPr>
            <w:tcW w:type="dxa" w:w="2650"/>
            <w:shd w:fill="D9D9D9" w:val="clear"/>
            <w:tcMar>
              <w:top w:type="dxa" w:w="80"/>
              <w:left w:type="dxa" w:w="100"/>
              <w:bottom w:type="dxa" w:w="80"/>
              <w:right w:type="dxa" w:w="100"/>
            </w:tcMar>
            <w:vAlign w:val="center"/>
          </w:tcPr>
          <w:p>
            <w:r>
              <w:rPr>
                <w:b/>
                <w:bCs/>
                <w:sz w:val="17"/>
                <w:szCs w:val="17"/>
              </w:rPr>
              <w:t xml:space="preserve">Current Control</w:t>
            </w:r>
          </w:p>
        </w:tc>
        <w:tc>
          <w:tcPr>
            <w:tcW w:type="dxa" w:w="2460"/>
            <w:shd w:fill="D9D9D9" w:val="clear"/>
            <w:tcMar>
              <w:top w:type="dxa" w:w="80"/>
              <w:left w:type="dxa" w:w="100"/>
              <w:bottom w:type="dxa" w:w="80"/>
              <w:right w:type="dxa" w:w="100"/>
            </w:tcMar>
            <w:vAlign w:val="center"/>
          </w:tcPr>
          <w:p>
            <w:r>
              <w:rPr>
                <w:b/>
                <w:bCs/>
                <w:sz w:val="17"/>
                <w:szCs w:val="17"/>
              </w:rPr>
              <w:t xml:space="preserve">Residual Risk</w:t>
            </w:r>
          </w:p>
        </w:tc>
      </w:tr>
      <w:tr>
        <w:tc>
          <w:tcPr>
            <w:tcW w:type="dxa" w:w="900"/>
            <w:tcMar>
              <w:top w:type="dxa" w:w="80"/>
              <w:left w:type="dxa" w:w="100"/>
              <w:bottom w:type="dxa" w:w="80"/>
              <w:right w:type="dxa" w:w="100"/>
            </w:tcMar>
            <w:vAlign w:val="center"/>
          </w:tcPr>
          <w:p>
            <w:r>
              <w:rPr>
                <w:b/>
                <w:bCs/>
                <w:sz w:val="17"/>
                <w:szCs w:val="17"/>
              </w:rPr>
              <w:t xml:space="preserve">Steal</w:t>
            </w:r>
          </w:p>
        </w:tc>
        <w:tc>
          <w:tcPr>
            <w:tcW w:type="dxa" w:w="3350"/>
            <w:tcMar>
              <w:top w:type="dxa" w:w="80"/>
              <w:left w:type="dxa" w:w="100"/>
              <w:bottom w:type="dxa" w:w="80"/>
              <w:right w:type="dxa" w:w="100"/>
            </w:tcMar>
            <w:vAlign w:val="center"/>
          </w:tcPr>
          <w:p>
            <w:r>
              <w:rPr>
                <w:b w:val="false"/>
                <w:bCs w:val="false"/>
                <w:sz w:val="17"/>
                <w:szCs w:val="17"/>
              </w:rPr>
              <w:t xml:space="preserve">Not directly applicable — it's a local inference service, not a data store. Risk is unauthorized *use* if the operator ever exposes it beyond loopback.</w:t>
            </w:r>
          </w:p>
        </w:tc>
        <w:tc>
          <w:tcPr>
            <w:tcW w:type="dxa" w:w="2650"/>
            <w:tcMar>
              <w:top w:type="dxa" w:w="80"/>
              <w:left w:type="dxa" w:w="100"/>
              <w:bottom w:type="dxa" w:w="80"/>
              <w:right w:type="dxa" w:w="100"/>
            </w:tcMar>
            <w:vAlign w:val="center"/>
          </w:tcPr>
          <w:p>
            <w:r>
              <w:rPr>
                <w:b w:val="false"/>
                <w:bCs w:val="false"/>
                <w:sz w:val="17"/>
                <w:szCs w:val="17"/>
              </w:rPr>
              <w:t xml:space="preserve">Defaults to 127.0.0.1:11434 (loopback-only) — a good default that an Insider/operator would have to deliberately change.</w:t>
            </w:r>
          </w:p>
        </w:tc>
        <w:tc>
          <w:tcPr>
            <w:tcW w:type="dxa" w:w="2460"/>
            <w:tcMar>
              <w:top w:type="dxa" w:w="80"/>
              <w:left w:type="dxa" w:w="100"/>
              <w:bottom w:type="dxa" w:w="80"/>
              <w:right w:type="dxa" w:w="100"/>
            </w:tcMar>
            <w:vAlign w:val="center"/>
          </w:tcPr>
          <w:p>
            <w:r>
              <w:rPr>
                <w:b w:val="false"/>
                <w:bCs w:val="false"/>
                <w:sz w:val="17"/>
                <w:szCs w:val="17"/>
              </w:rPr>
              <w:t xml:space="preserve">Low.</w:t>
            </w:r>
          </w:p>
        </w:tc>
      </w:tr>
      <w:tr>
        <w:tc>
          <w:tcPr>
            <w:tcW w:type="dxa" w:w="900"/>
            <w:tcMar>
              <w:top w:type="dxa" w:w="80"/>
              <w:left w:type="dxa" w:w="100"/>
              <w:bottom w:type="dxa" w:w="80"/>
              <w:right w:type="dxa" w:w="100"/>
            </w:tcMar>
            <w:vAlign w:val="center"/>
          </w:tcPr>
          <w:p>
            <w:r>
              <w:rPr>
                <w:b/>
                <w:bCs/>
                <w:sz w:val="17"/>
                <w:szCs w:val="17"/>
              </w:rPr>
              <w:t xml:space="preserve">Modify</w:t>
            </w:r>
          </w:p>
        </w:tc>
        <w:tc>
          <w:tcPr>
            <w:tcW w:type="dxa" w:w="3350"/>
            <w:tcMar>
              <w:top w:type="dxa" w:w="80"/>
              <w:left w:type="dxa" w:w="100"/>
              <w:bottom w:type="dxa" w:w="80"/>
              <w:right w:type="dxa" w:w="100"/>
            </w:tcMar>
            <w:vAlign w:val="center"/>
          </w:tcPr>
          <w:p>
            <w:r>
              <w:rPr>
                <w:b w:val="false"/>
                <w:bCs w:val="false"/>
                <w:sz w:val="17"/>
                <w:szCs w:val="17"/>
              </w:rPr>
              <w:t xml:space="preserve">OLLAMA_BASE_URL could be repointed at a malicious, Ollama-API-compatible endpoint (requires env/host access — Insider only) that returns adversarial JSON crafted to probe or bypass verifyInsight.</w:t>
            </w:r>
          </w:p>
        </w:tc>
        <w:tc>
          <w:tcPr>
            <w:tcW w:type="dxa" w:w="2650"/>
            <w:tcMar>
              <w:top w:type="dxa" w:w="80"/>
              <w:left w:type="dxa" w:w="100"/>
              <w:bottom w:type="dxa" w:w="80"/>
              <w:right w:type="dxa" w:w="100"/>
            </w:tcMar>
            <w:vAlign w:val="center"/>
          </w:tcPr>
          <w:p>
            <w:r>
              <w:rPr>
                <w:b w:val="false"/>
                <w:bCs w:val="false"/>
                <w:sz w:val="17"/>
                <w:szCs w:val="17"/>
              </w:rPr>
              <w:t xml:space="preserve">The app already treats Ollama's output as untrusted-but-structured (schema validation, coercion, then the same deterministic gate as any other source).</w:t>
            </w:r>
          </w:p>
        </w:tc>
        <w:tc>
          <w:tcPr>
            <w:tcW w:type="dxa" w:w="2460"/>
            <w:tcMar>
              <w:top w:type="dxa" w:w="80"/>
              <w:left w:type="dxa" w:w="100"/>
              <w:bottom w:type="dxa" w:w="80"/>
              <w:right w:type="dxa" w:w="100"/>
            </w:tcMar>
            <w:vAlign w:val="center"/>
          </w:tcPr>
          <w:p>
            <w:r>
              <w:rPr>
                <w:b w:val="false"/>
                <w:bCs w:val="false"/>
                <w:sz w:val="17"/>
                <w:szCs w:val="17"/>
              </w:rPr>
              <w:t xml:space="preserve">Low — requires Insider-level access to matter, and the output is still checked afterward.</w:t>
            </w:r>
          </w:p>
        </w:tc>
      </w:tr>
      <w:tr>
        <w:tc>
          <w:tcPr>
            <w:tcW w:type="dxa" w:w="900"/>
            <w:tcMar>
              <w:top w:type="dxa" w:w="80"/>
              <w:left w:type="dxa" w:w="100"/>
              <w:bottom w:type="dxa" w:w="80"/>
              <w:right w:type="dxa" w:w="100"/>
            </w:tcMar>
            <w:vAlign w:val="center"/>
          </w:tcPr>
          <w:p>
            <w:r>
              <w:rPr>
                <w:b/>
                <w:bCs/>
                <w:sz w:val="17"/>
                <w:szCs w:val="17"/>
              </w:rPr>
              <w:t xml:space="preserve">Delete / disable</w:t>
            </w:r>
          </w:p>
        </w:tc>
        <w:tc>
          <w:tcPr>
            <w:tcW w:type="dxa" w:w="3350"/>
            <w:tcMar>
              <w:top w:type="dxa" w:w="80"/>
              <w:left w:type="dxa" w:w="100"/>
              <w:bottom w:type="dxa" w:w="80"/>
              <w:right w:type="dxa" w:w="100"/>
            </w:tcMar>
            <w:vAlign w:val="center"/>
          </w:tcPr>
          <w:p>
            <w:r>
              <w:rPr>
                <w:b w:val="false"/>
                <w:bCs w:val="false"/>
                <w:sz w:val="17"/>
                <w:szCs w:val="17"/>
              </w:rPr>
              <w:t xml:space="preserve">Taking Ollama offline doesn't remove functionality — it silently routes every subsequent turn to the cloud fallback chain instead (API spammer or normal load could also just exhaust it).</w:t>
            </w:r>
          </w:p>
        </w:tc>
        <w:tc>
          <w:tcPr>
            <w:tcW w:type="dxa" w:w="2650"/>
            <w:tcMar>
              <w:top w:type="dxa" w:w="80"/>
              <w:left w:type="dxa" w:w="100"/>
              <w:bottom w:type="dxa" w:w="80"/>
              <w:right w:type="dxa" w:w="100"/>
            </w:tcMar>
            <w:vAlign w:val="center"/>
          </w:tcPr>
          <w:p>
            <w:r>
              <w:rPr>
                <w:b w:val="false"/>
                <w:bCs w:val="false"/>
                <w:sz w:val="17"/>
                <w:szCs w:val="17"/>
              </w:rPr>
              <w:t xml:space="preserve">The three-tier fallback (Ollama → OpenAI/Gemini → heuristic template) keeps the feature available.</w:t>
            </w:r>
          </w:p>
        </w:tc>
        <w:tc>
          <w:tcPr>
            <w:tcW w:type="dxa" w:w="2460"/>
            <w:tcMar>
              <w:top w:type="dxa" w:w="80"/>
              <w:left w:type="dxa" w:w="100"/>
              <w:bottom w:type="dxa" w:w="80"/>
              <w:right w:type="dxa" w:w="100"/>
            </w:tcMar>
            <w:vAlign w:val="center"/>
          </w:tcPr>
          <w:p>
            <w:r>
              <w:rPr>
                <w:b w:val="false"/>
                <w:bCs w:val="false"/>
                <w:sz w:val="17"/>
                <w:szCs w:val="17"/>
              </w:rPr>
              <w:t xml:space="preserve">Medium — an availability action against Ollama indirectly *increases* confidentiality risk elsewhere (Asset 4/5/8), which is a subtle but real interaction worth tracking as one item rather than two.</w:t>
            </w:r>
          </w:p>
        </w:tc>
      </w:tr>
      <w:tr>
        <w:tc>
          <w:tcPr>
            <w:tcW w:type="dxa" w:w="900"/>
            <w:tcMar>
              <w:top w:type="dxa" w:w="80"/>
              <w:left w:type="dxa" w:w="100"/>
              <w:bottom w:type="dxa" w:w="80"/>
              <w:right w:type="dxa" w:w="100"/>
            </w:tcMar>
            <w:vAlign w:val="center"/>
          </w:tcPr>
          <w:p>
            <w:r>
              <w:rPr>
                <w:b/>
                <w:bCs/>
                <w:sz w:val="17"/>
                <w:szCs w:val="17"/>
              </w:rPr>
              <w:t xml:space="preserve">Misuse</w:t>
            </w:r>
          </w:p>
        </w:tc>
        <w:tc>
          <w:tcPr>
            <w:tcW w:type="dxa" w:w="3350"/>
            <w:tcMar>
              <w:top w:type="dxa" w:w="80"/>
              <w:left w:type="dxa" w:w="100"/>
              <w:bottom w:type="dxa" w:w="80"/>
              <w:right w:type="dxa" w:w="100"/>
            </w:tcMar>
            <w:vAlign w:val="center"/>
          </w:tcPr>
          <w:p>
            <w:r>
              <w:rPr>
                <w:b w:val="false"/>
                <w:bCs w:val="false"/>
                <w:sz w:val="17"/>
                <w:szCs w:val="17"/>
              </w:rPr>
              <w:t xml:space="preserve">An API spammer hitting POST /api/chat/message from many registered accounts (each individually under the 30/15min cap) can still collectively exhaust a shared Ollama instance's compute — a multi-tenant noisy-neighbor denial-of-service.</w:t>
            </w:r>
          </w:p>
        </w:tc>
        <w:tc>
          <w:tcPr>
            <w:tcW w:type="dxa" w:w="2650"/>
            <w:tcMar>
              <w:top w:type="dxa" w:w="80"/>
              <w:left w:type="dxa" w:w="100"/>
              <w:bottom w:type="dxa" w:w="80"/>
              <w:right w:type="dxa" w:w="100"/>
            </w:tcMar>
            <w:vAlign w:val="center"/>
          </w:tcPr>
          <w:p>
            <w:r>
              <w:rPr>
                <w:b w:val="false"/>
                <w:bCs w:val="false"/>
                <w:sz w:val="17"/>
                <w:szCs w:val="17"/>
              </w:rPr>
              <w:t xml:space="preserve">Per-user rate limiting only; no global/aggregate limit on Ollama load.</w:t>
            </w:r>
          </w:p>
        </w:tc>
        <w:tc>
          <w:tcPr>
            <w:tcW w:type="dxa" w:w="2460"/>
            <w:tcMar>
              <w:top w:type="dxa" w:w="80"/>
              <w:left w:type="dxa" w:w="100"/>
              <w:bottom w:type="dxa" w:w="80"/>
              <w:right w:type="dxa" w:w="100"/>
            </w:tcMar>
            <w:vAlign w:val="center"/>
          </w:tcPr>
          <w:p>
            <w:r>
              <w:rPr>
                <w:b w:val="false"/>
                <w:bCs w:val="false"/>
                <w:sz w:val="17"/>
                <w:szCs w:val="17"/>
              </w:rPr>
              <w:t xml:space="preserve">Medium.</w:t>
            </w:r>
          </w:p>
        </w:tc>
      </w:tr>
    </w:tbl>
    <w:p>
      <w:pPr>
        <w:pStyle w:val="Heading2"/>
        <w:spacing w:after="140" w:before="280"/>
      </w:pPr>
      <w:r>
        <w:t xml:space="preserve">Asset 12 · Cloud AI keys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350"/>
        <w:gridCol w:w="2650"/>
        <w:gridCol w:w="2460"/>
      </w:tblGrid>
      <w:tr>
        <w:trPr>
          <w:tblHeader/>
        </w:trPr>
        <w:tc>
          <w:tcPr>
            <w:tcW w:type="dxa" w:w="900"/>
            <w:shd w:fill="D9D9D9" w:val="clear"/>
            <w:tcMar>
              <w:top w:type="dxa" w:w="80"/>
              <w:left w:type="dxa" w:w="100"/>
              <w:bottom w:type="dxa" w:w="80"/>
              <w:right w:type="dxa" w:w="100"/>
            </w:tcMar>
            <w:vAlign w:val="center"/>
          </w:tcPr>
          <w:p>
            <w:r>
              <w:rPr>
                <w:b/>
                <w:bCs/>
                <w:sz w:val="17"/>
                <w:szCs w:val="17"/>
              </w:rPr>
              <w:t xml:space="preserve">Action</w:t>
            </w:r>
          </w:p>
        </w:tc>
        <w:tc>
          <w:tcPr>
            <w:tcW w:type="dxa" w:w="3350"/>
            <w:shd w:fill="D9D9D9" w:val="clear"/>
            <w:tcMar>
              <w:top w:type="dxa" w:w="80"/>
              <w:left w:type="dxa" w:w="100"/>
              <w:bottom w:type="dxa" w:w="80"/>
              <w:right w:type="dxa" w:w="100"/>
            </w:tcMar>
            <w:vAlign w:val="center"/>
          </w:tcPr>
          <w:p>
            <w:r>
              <w:rPr>
                <w:b/>
                <w:bCs/>
                <w:sz w:val="17"/>
                <w:szCs w:val="17"/>
              </w:rPr>
              <w:t xml:space="preserve">Vector &amp; Attacker</w:t>
            </w:r>
          </w:p>
        </w:tc>
        <w:tc>
          <w:tcPr>
            <w:tcW w:type="dxa" w:w="2650"/>
            <w:shd w:fill="D9D9D9" w:val="clear"/>
            <w:tcMar>
              <w:top w:type="dxa" w:w="80"/>
              <w:left w:type="dxa" w:w="100"/>
              <w:bottom w:type="dxa" w:w="80"/>
              <w:right w:type="dxa" w:w="100"/>
            </w:tcMar>
            <w:vAlign w:val="center"/>
          </w:tcPr>
          <w:p>
            <w:r>
              <w:rPr>
                <w:b/>
                <w:bCs/>
                <w:sz w:val="17"/>
                <w:szCs w:val="17"/>
              </w:rPr>
              <w:t xml:space="preserve">Current Control</w:t>
            </w:r>
          </w:p>
        </w:tc>
        <w:tc>
          <w:tcPr>
            <w:tcW w:type="dxa" w:w="2460"/>
            <w:shd w:fill="D9D9D9" w:val="clear"/>
            <w:tcMar>
              <w:top w:type="dxa" w:w="80"/>
              <w:left w:type="dxa" w:w="100"/>
              <w:bottom w:type="dxa" w:w="80"/>
              <w:right w:type="dxa" w:w="100"/>
            </w:tcMar>
            <w:vAlign w:val="center"/>
          </w:tcPr>
          <w:p>
            <w:r>
              <w:rPr>
                <w:b/>
                <w:bCs/>
                <w:sz w:val="17"/>
                <w:szCs w:val="17"/>
              </w:rPr>
              <w:t xml:space="preserve">Residual Risk</w:t>
            </w:r>
          </w:p>
        </w:tc>
      </w:tr>
      <w:tr>
        <w:tc>
          <w:tcPr>
            <w:tcW w:type="dxa" w:w="900"/>
            <w:tcMar>
              <w:top w:type="dxa" w:w="80"/>
              <w:left w:type="dxa" w:w="100"/>
              <w:bottom w:type="dxa" w:w="80"/>
              <w:right w:type="dxa" w:w="100"/>
            </w:tcMar>
            <w:vAlign w:val="center"/>
          </w:tcPr>
          <w:p>
            <w:r>
              <w:rPr>
                <w:b/>
                <w:bCs/>
                <w:sz w:val="17"/>
                <w:szCs w:val="17"/>
              </w:rPr>
              <w:t xml:space="preserve">Steal</w:t>
            </w:r>
          </w:p>
        </w:tc>
        <w:tc>
          <w:tcPr>
            <w:tcW w:type="dxa" w:w="3350"/>
            <w:tcMar>
              <w:top w:type="dxa" w:w="80"/>
              <w:left w:type="dxa" w:w="100"/>
              <w:bottom w:type="dxa" w:w="80"/>
              <w:right w:type="dxa" w:w="100"/>
            </w:tcMar>
            <w:vAlign w:val="center"/>
          </w:tcPr>
          <w:p>
            <w:r>
              <w:rPr>
                <w:b w:val="false"/>
                <w:bCs w:val="false"/>
                <w:sz w:val="17"/>
                <w:szCs w:val="17"/>
              </w:rPr>
              <w:t xml:space="preserve">Covered under Environment Variables (Asset 9) — restated here because of its distinct financial-abuse consequence. Confirmed the key is never sent to or reachable from the client.</w:t>
            </w:r>
          </w:p>
        </w:tc>
        <w:tc>
          <w:tcPr>
            <w:tcW w:type="dxa" w:w="2650"/>
            <w:tcMar>
              <w:top w:type="dxa" w:w="80"/>
              <w:left w:type="dxa" w:w="100"/>
              <w:bottom w:type="dxa" w:w="80"/>
              <w:right w:type="dxa" w:w="100"/>
            </w:tcMar>
            <w:vAlign w:val="center"/>
          </w:tcPr>
          <w:p>
            <w:r>
              <w:rPr>
                <w:b w:val="false"/>
                <w:bCs w:val="false"/>
                <w:sz w:val="17"/>
                <w:szCs w:val="17"/>
              </w:rPr>
              <w:t xml:space="preserve">Server-only usage confirmed; standard env-var hygiene otherwise.</w:t>
            </w:r>
          </w:p>
        </w:tc>
        <w:tc>
          <w:tcPr>
            <w:tcW w:type="dxa" w:w="2460"/>
            <w:tcMar>
              <w:top w:type="dxa" w:w="80"/>
              <w:left w:type="dxa" w:w="100"/>
              <w:bottom w:type="dxa" w:w="80"/>
              <w:right w:type="dxa" w:w="100"/>
            </w:tcMar>
            <w:vAlign w:val="center"/>
          </w:tcPr>
          <w:p>
            <w:r>
              <w:rPr>
                <w:b w:val="false"/>
                <w:bCs w:val="false"/>
                <w:sz w:val="17"/>
                <w:szCs w:val="17"/>
              </w:rPr>
              <w:t xml:space="preserve">High if leaked — direct financial/reputational consequence.</w:t>
            </w:r>
          </w:p>
        </w:tc>
      </w:tr>
      <w:tr>
        <w:tc>
          <w:tcPr>
            <w:tcW w:type="dxa" w:w="900"/>
            <w:tcMar>
              <w:top w:type="dxa" w:w="80"/>
              <w:left w:type="dxa" w:w="100"/>
              <w:bottom w:type="dxa" w:w="80"/>
              <w:right w:type="dxa" w:w="100"/>
            </w:tcMar>
            <w:vAlign w:val="center"/>
          </w:tcPr>
          <w:p>
            <w:r>
              <w:rPr>
                <w:b/>
                <w:bCs/>
                <w:sz w:val="17"/>
                <w:szCs w:val="17"/>
              </w:rPr>
              <w:t xml:space="preserve">Modify</w:t>
            </w:r>
          </w:p>
        </w:tc>
        <w:tc>
          <w:tcPr>
            <w:tcW w:type="dxa" w:w="3350"/>
            <w:tcMar>
              <w:top w:type="dxa" w:w="80"/>
              <w:left w:type="dxa" w:w="100"/>
              <w:bottom w:type="dxa" w:w="80"/>
              <w:right w:type="dxa" w:w="100"/>
            </w:tcMar>
            <w:vAlign w:val="center"/>
          </w:tcPr>
          <w:p>
            <w:r>
              <w:rPr>
                <w:b w:val="false"/>
                <w:bCs w:val="false"/>
                <w:sz w:val="17"/>
                <w:szCs w:val="17"/>
              </w:rPr>
              <w:t xml:space="preserve">N/A directly — keys are rotated by the operator, not 'modified' by an attacker; the relevant threat is external use of a leaked key, entirely outside the app's visibility.</w:t>
            </w:r>
          </w:p>
        </w:tc>
        <w:tc>
          <w:tcPr>
            <w:tcW w:type="dxa" w:w="2650"/>
            <w:tcMar>
              <w:top w:type="dxa" w:w="80"/>
              <w:left w:type="dxa" w:w="100"/>
              <w:bottom w:type="dxa" w:w="80"/>
              <w:right w:type="dxa" w:w="100"/>
            </w:tcMar>
            <w:vAlign w:val="center"/>
          </w:tcPr>
          <w:p>
            <w:r>
              <w:rPr>
                <w:b w:val="false"/>
                <w:bCs w:val="false"/>
                <w:sz w:val="17"/>
                <w:szCs w:val="17"/>
              </w:rPr>
              <w:t xml:space="preserve">None — the app has no key-management or usage-monitoring surface of its own.</w:t>
            </w:r>
          </w:p>
        </w:tc>
        <w:tc>
          <w:tcPr>
            <w:tcW w:type="dxa" w:w="2460"/>
            <w:tcMar>
              <w:top w:type="dxa" w:w="80"/>
              <w:left w:type="dxa" w:w="100"/>
              <w:bottom w:type="dxa" w:w="80"/>
              <w:right w:type="dxa" w:w="100"/>
            </w:tcMar>
            <w:vAlign w:val="center"/>
          </w:tcPr>
          <w:p>
            <w:r>
              <w:rPr>
                <w:b w:val="false"/>
                <w:bCs w:val="false"/>
                <w:sz w:val="17"/>
                <w:szCs w:val="17"/>
              </w:rPr>
              <w:t xml:space="preserve">N/A / Low (no in-app modification path).</w:t>
            </w:r>
          </w:p>
        </w:tc>
      </w:tr>
      <w:tr>
        <w:tc>
          <w:tcPr>
            <w:tcW w:type="dxa" w:w="900"/>
            <w:tcMar>
              <w:top w:type="dxa" w:w="80"/>
              <w:left w:type="dxa" w:w="100"/>
              <w:bottom w:type="dxa" w:w="80"/>
              <w:right w:type="dxa" w:w="100"/>
            </w:tcMar>
            <w:vAlign w:val="center"/>
          </w:tcPr>
          <w:p>
            <w:r>
              <w:rPr>
                <w:b/>
                <w:bCs/>
                <w:sz w:val="17"/>
                <w:szCs w:val="17"/>
              </w:rPr>
              <w:t xml:space="preserve">Delete</w:t>
            </w:r>
          </w:p>
        </w:tc>
        <w:tc>
          <w:tcPr>
            <w:tcW w:type="dxa" w:w="3350"/>
            <w:tcMar>
              <w:top w:type="dxa" w:w="80"/>
              <w:left w:type="dxa" w:w="100"/>
              <w:bottom w:type="dxa" w:w="80"/>
              <w:right w:type="dxa" w:w="100"/>
            </w:tcMar>
            <w:vAlign w:val="center"/>
          </w:tcPr>
          <w:p>
            <w:r>
              <w:rPr>
                <w:b w:val="false"/>
                <w:bCs w:val="false"/>
                <w:sz w:val="17"/>
                <w:szCs w:val="17"/>
              </w:rPr>
              <w:t xml:space="preserve">Same — operator/Insider-only, outside the app.</w:t>
            </w:r>
          </w:p>
        </w:tc>
        <w:tc>
          <w:tcPr>
            <w:tcW w:type="dxa" w:w="2650"/>
            <w:tcMar>
              <w:top w:type="dxa" w:w="80"/>
              <w:left w:type="dxa" w:w="100"/>
              <w:bottom w:type="dxa" w:w="80"/>
              <w:right w:type="dxa" w:w="100"/>
            </w:tcMar>
            <w:vAlign w:val="center"/>
          </w:tcPr>
          <w:p>
            <w:r>
              <w:rPr>
                <w:b w:val="false"/>
                <w:bCs w:val="false"/>
                <w:sz w:val="17"/>
                <w:szCs w:val="17"/>
              </w:rPr>
              <w:t xml:space="preserve">N/A.</w:t>
            </w:r>
          </w:p>
        </w:tc>
        <w:tc>
          <w:tcPr>
            <w:tcW w:type="dxa" w:w="2460"/>
            <w:tcMar>
              <w:top w:type="dxa" w:w="80"/>
              <w:left w:type="dxa" w:w="100"/>
              <w:bottom w:type="dxa" w:w="80"/>
              <w:right w:type="dxa" w:w="100"/>
            </w:tcMar>
            <w:vAlign w:val="center"/>
          </w:tcPr>
          <w:p>
            <w:r>
              <w:rPr>
                <w:b w:val="false"/>
                <w:bCs w:val="false"/>
                <w:sz w:val="17"/>
                <w:szCs w:val="17"/>
              </w:rPr>
              <w:t xml:space="preserve">Low.</w:t>
            </w:r>
          </w:p>
        </w:tc>
      </w:tr>
      <w:tr>
        <w:tc>
          <w:tcPr>
            <w:tcW w:type="dxa" w:w="900"/>
            <w:tcMar>
              <w:top w:type="dxa" w:w="80"/>
              <w:left w:type="dxa" w:w="100"/>
              <w:bottom w:type="dxa" w:w="80"/>
              <w:right w:type="dxa" w:w="100"/>
            </w:tcMar>
            <w:vAlign w:val="center"/>
          </w:tcPr>
          <w:p>
            <w:r>
              <w:rPr>
                <w:b/>
                <w:bCs/>
                <w:sz w:val="17"/>
                <w:szCs w:val="17"/>
              </w:rPr>
              <w:t xml:space="preserve">Misuse</w:t>
            </w:r>
          </w:p>
        </w:tc>
        <w:tc>
          <w:tcPr>
            <w:tcW w:type="dxa" w:w="3350"/>
            <w:tcMar>
              <w:top w:type="dxa" w:w="80"/>
              <w:left w:type="dxa" w:w="100"/>
              <w:bottom w:type="dxa" w:w="80"/>
              <w:right w:type="dxa" w:w="100"/>
            </w:tcMar>
            <w:vAlign w:val="center"/>
          </w:tcPr>
          <w:p>
            <w:r>
              <w:rPr>
                <w:b w:val="false"/>
                <w:bCs w:val="false"/>
                <w:sz w:val="17"/>
                <w:szCs w:val="17"/>
              </w:rPr>
              <w:t xml:space="preserve">A single shared key across all users means one leaked key's abuse is indistinguishable from legitimate app traffic to the provider — harder to detect than if usage were partitioned per user/tenant.</w:t>
            </w:r>
          </w:p>
        </w:tc>
        <w:tc>
          <w:tcPr>
            <w:tcW w:type="dxa" w:w="2650"/>
            <w:tcMar>
              <w:top w:type="dxa" w:w="80"/>
              <w:left w:type="dxa" w:w="100"/>
              <w:bottom w:type="dxa" w:w="80"/>
              <w:right w:type="dxa" w:w="100"/>
            </w:tcMar>
            <w:vAlign w:val="center"/>
          </w:tcPr>
          <w:p>
            <w:r>
              <w:rPr>
                <w:b w:val="false"/>
                <w:bCs w:val="false"/>
                <w:sz w:val="17"/>
                <w:szCs w:val="17"/>
              </w:rPr>
              <w:t xml:space="preserve">None visible (no per-user quota, no usage tagging).</w:t>
            </w:r>
          </w:p>
        </w:tc>
        <w:tc>
          <w:tcPr>
            <w:tcW w:type="dxa" w:w="2460"/>
            <w:tcMar>
              <w:top w:type="dxa" w:w="80"/>
              <w:left w:type="dxa" w:w="100"/>
              <w:bottom w:type="dxa" w:w="80"/>
              <w:right w:type="dxa" w:w="100"/>
            </w:tcMar>
            <w:vAlign w:val="center"/>
          </w:tcPr>
          <w:p>
            <w:r>
              <w:rPr>
                <w:b w:val="false"/>
                <w:bCs w:val="false"/>
                <w:sz w:val="17"/>
                <w:szCs w:val="17"/>
              </w:rPr>
              <w:t xml:space="preserve">High.</w:t>
            </w:r>
          </w:p>
        </w:tc>
      </w:tr>
    </w:tbl>
    <w:p>
      <w:r>
        <w:br w:type="page"/>
      </w:r>
    </w:p>
    <w:p>
      <w:pPr>
        <w:pStyle w:val="Heading1"/>
        <w:spacing w:after="200" w:before="400"/>
      </w:pPr>
      <w:r>
        <w:t xml:space="preserve">4. Cross-Cutting Observations</w:t>
      </w:r>
    </w:p>
    <w:p>
      <w:pPr>
        <w:pStyle w:val="ListParagraph"/>
        <w:numPr>
          <w:ilvl w:val="0"/>
          <w:numId w:val="2"/>
        </w:numPr>
        <w:spacing w:after="90" w:line="276"/>
      </w:pPr>
      <w:r>
        <w:t xml:space="preserve">The highest blast-radius single event in this entire model is Database attacker access to MongoDB — it simultaneously defeats every application-layer control (ownership scoping, rate limiting, validation) across every user at once. This deserves disproportionate attention relative to its likelihood, precisely because its impact ceiling is the entire system.</w:t>
      </w:r>
    </w:p>
    <w:p>
      <w:pPr>
        <w:pStyle w:val="ListParagraph"/>
        <w:numPr>
          <w:ilvl w:val="0"/>
          <w:numId w:val="2"/>
        </w:numPr>
        <w:spacing w:after="90" w:line="276"/>
      </w:pPr>
      <w:r>
        <w:t xml:space="preserve">Environment variables are the load-bearing wall behind nearly every other asset: JWT_SECRET protects the JWT asset, MONGO_URI protects MongoDB, and the cloud AI keys protect billing/reputation. A single review environment was found with JWT_SECRET still set to its public placeholder value — the same fact noted in Phase 1 (F-02), reframed here as a live Critical condition rather than a code-level gap.</w:t>
      </w:r>
    </w:p>
    <w:p>
      <w:pPr>
        <w:pStyle w:val="ListParagraph"/>
        <w:numPr>
          <w:ilvl w:val="0"/>
          <w:numId w:val="2"/>
        </w:numPr>
        <w:spacing w:after="90" w:line="276"/>
      </w:pPr>
      <w:r>
        <w:t xml:space="preserve">The localStorage-plus-no-revocation combination (Asset 3) means the Stolen JWT holder attacker profile is disproportionately powerful relative to how it would typically be treated in a cookie-based design — there is no early-invalidation lever available if a token leaks, only its natural 7-day expiry.</w:t>
      </w:r>
    </w:p>
    <w:p>
      <w:pPr>
        <w:pStyle w:val="ListParagraph"/>
        <w:numPr>
          <w:ilvl w:val="0"/>
          <w:numId w:val="2"/>
        </w:numPr>
        <w:spacing w:after="90" w:line="276"/>
      </w:pPr>
      <w:r>
        <w:t xml:space="preserve">Several assets (health data write path, journal edit/delete, account deletion) are 'protected' today only because no endpoint exists yet, not because of a deliberate access-control decision. This is worth tracking explicitly: each of these is a Low risk now and will need its own real control the moment the corresponding feature ships.</w:t>
      </w:r>
    </w:p>
    <w:p>
      <w:pPr>
        <w:pStyle w:val="ListParagraph"/>
        <w:numPr>
          <w:ilvl w:val="0"/>
          <w:numId w:val="2"/>
        </w:numPr>
        <w:spacing w:after="90" w:line="276"/>
      </w:pPr>
      <w:r>
        <w:t xml:space="preserve">The AI pipeline's safety net (verifyInsight, scrubHealthReferences) is applied consistently to every chat turn regardless of source (Ollama, OpenAI, Gemini, or heuristic fallback) — a genuine architectural strength — but every gate in that net currently has at least one known bypass characteristic (self-reported confidence, fixed-keyword scrubbing, no prompt delimiting), so it should be read as risk-reducing rather than risk-eliminating.</w:t>
      </w:r>
    </w:p>
    <w:p>
      <w:pPr>
        <w:pStyle w:val="ListParagraph"/>
        <w:numPr>
          <w:ilvl w:val="0"/>
          <w:numId w:val="2"/>
        </w:numPr>
        <w:spacing w:after="90" w:line="276"/>
      </w:pPr>
      <w:r>
        <w:t xml:space="preserve">CSRF is a structurally non-issue given the Bearer-token design, and XSS has no known vector today — these are the two attacker profiles this system is best positioned against, which is worth stating positively rather than only listing gaps elsewhere.</w:t>
      </w:r>
    </w:p>
    <w:p>
      <w:r>
        <w:br w:type="page"/>
      </w:r>
    </w:p>
    <w:p>
      <w:pPr>
        <w:pStyle w:val="Heading1"/>
        <w:spacing w:after="200" w:before="400"/>
      </w:pPr>
      <w:r>
        <w:t xml:space="preserve">5. Asset Risk Ratings — Summary</w:t>
      </w:r>
    </w:p>
    <w:p>
      <w:pPr>
        <w:spacing w:after="160" w:line="276"/>
      </w:pPr>
      <w:r>
        <w:t xml:space="preserve">An asset's rating reflects its highest-severity path from Section 3, not an average across all four questions — a single Critical "misuse" path makes the asset Critical even if "delete" is 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rPr>
          <w:tblHeader/>
        </w:trPr>
        <w:tc>
          <w:tcPr>
            <w:tcW w:type="dxa" w:w="3200"/>
            <w:shd w:fill="D9D9D9" w:val="clear"/>
            <w:tcMar>
              <w:top w:type="dxa" w:w="80"/>
              <w:left w:type="dxa" w:w="100"/>
              <w:bottom w:type="dxa" w:w="80"/>
              <w:right w:type="dxa" w:w="100"/>
            </w:tcMar>
            <w:vAlign w:val="center"/>
          </w:tcPr>
          <w:p>
            <w:r>
              <w:rPr>
                <w:b/>
                <w:bCs/>
                <w:sz w:val="17"/>
                <w:szCs w:val="17"/>
              </w:rPr>
              <w:t xml:space="preserve">Asset</w:t>
            </w:r>
          </w:p>
        </w:tc>
        <w:tc>
          <w:tcPr>
            <w:tcW w:type="dxa" w:w="3080"/>
            <w:shd w:fill="D9D9D9" w:val="clear"/>
            <w:tcMar>
              <w:top w:type="dxa" w:w="80"/>
              <w:left w:type="dxa" w:w="100"/>
              <w:bottom w:type="dxa" w:w="80"/>
              <w:right w:type="dxa" w:w="100"/>
            </w:tcMar>
            <w:vAlign w:val="center"/>
          </w:tcPr>
          <w:p>
            <w:r>
              <w:rPr>
                <w:b/>
                <w:bCs/>
                <w:sz w:val="17"/>
                <w:szCs w:val="17"/>
              </w:rPr>
              <w:t xml:space="preserve">Highest single-path risk</w:t>
            </w:r>
          </w:p>
        </w:tc>
        <w:tc>
          <w:tcPr>
            <w:tcW w:type="dxa" w:w="3080"/>
            <w:shd w:fill="D9D9D9" w:val="clear"/>
            <w:tcMar>
              <w:top w:type="dxa" w:w="80"/>
              <w:left w:type="dxa" w:w="100"/>
              <w:bottom w:type="dxa" w:w="80"/>
              <w:right w:type="dxa" w:w="100"/>
            </w:tcMar>
            <w:vAlign w:val="center"/>
          </w:tcPr>
          <w:p>
            <w:r>
              <w:rPr>
                <w:b/>
                <w:bCs/>
                <w:sz w:val="17"/>
                <w:szCs w:val="17"/>
              </w:rPr>
              <w:t xml:space="preserve">Overall rating</w:t>
            </w:r>
          </w:p>
        </w:tc>
      </w:tr>
      <w:tr>
        <w:tc>
          <w:tcPr>
            <w:tcW w:type="dxa" w:w="3200"/>
            <w:tcMar>
              <w:top w:type="dxa" w:w="80"/>
              <w:left w:type="dxa" w:w="100"/>
              <w:bottom w:type="dxa" w:w="80"/>
              <w:right w:type="dxa" w:w="100"/>
            </w:tcMar>
            <w:vAlign w:val="center"/>
          </w:tcPr>
          <w:p>
            <w:r>
              <w:rPr>
                <w:b/>
                <w:bCs/>
                <w:sz w:val="17"/>
                <w:szCs w:val="17"/>
              </w:rPr>
              <w:t xml:space="preserve">MongoDB</w:t>
            </w:r>
          </w:p>
        </w:tc>
        <w:tc>
          <w:tcPr>
            <w:tcW w:type="dxa" w:w="3080"/>
            <w:tcMar>
              <w:top w:type="dxa" w:w="80"/>
              <w:left w:type="dxa" w:w="100"/>
              <w:bottom w:type="dxa" w:w="80"/>
              <w:right w:type="dxa" w:w="100"/>
            </w:tcMar>
            <w:vAlign w:val="center"/>
          </w:tcPr>
          <w:p>
            <w:r>
              <w:rPr>
                <w:b w:val="false"/>
                <w:bCs w:val="false"/>
                <w:sz w:val="17"/>
                <w:szCs w:val="17"/>
              </w:rPr>
              <w:t xml:space="preserve">Direct DB access bypasses every application control at once, across all users.</w:t>
            </w:r>
          </w:p>
        </w:tc>
        <w:tc>
          <w:tcPr>
            <w:tcW w:type="dxa" w:w="3080"/>
            <w:shd w:fill="F5C6C6" w:val="clear"/>
            <w:tcMar>
              <w:top w:type="dxa" w:w="80"/>
              <w:left w:type="dxa" w:w="100"/>
              <w:bottom w:type="dxa" w:w="80"/>
              <w:right w:type="dxa" w:w="100"/>
            </w:tcMar>
            <w:vAlign w:val="center"/>
          </w:tcPr>
          <w:p>
            <w:r>
              <w:rPr>
                <w:b/>
                <w:bCs/>
                <w:sz w:val="17"/>
                <w:szCs w:val="17"/>
              </w:rPr>
              <w:t xml:space="preserve">Critical</w:t>
            </w:r>
          </w:p>
        </w:tc>
      </w:tr>
      <w:tr>
        <w:tc>
          <w:tcPr>
            <w:tcW w:type="dxa" w:w="3200"/>
            <w:tcMar>
              <w:top w:type="dxa" w:w="80"/>
              <w:left w:type="dxa" w:w="100"/>
              <w:bottom w:type="dxa" w:w="80"/>
              <w:right w:type="dxa" w:w="100"/>
            </w:tcMar>
            <w:vAlign w:val="center"/>
          </w:tcPr>
          <w:p>
            <w:r>
              <w:rPr>
                <w:b/>
                <w:bCs/>
                <w:sz w:val="17"/>
                <w:szCs w:val="17"/>
              </w:rPr>
              <w:t xml:space="preserve">Environment variables</w:t>
            </w:r>
          </w:p>
        </w:tc>
        <w:tc>
          <w:tcPr>
            <w:tcW w:type="dxa" w:w="3080"/>
            <w:tcMar>
              <w:top w:type="dxa" w:w="80"/>
              <w:left w:type="dxa" w:w="100"/>
              <w:bottom w:type="dxa" w:w="80"/>
              <w:right w:type="dxa" w:w="100"/>
            </w:tcMar>
            <w:vAlign w:val="center"/>
          </w:tcPr>
          <w:p>
            <w:r>
              <w:rPr>
                <w:b w:val="false"/>
                <w:bCs w:val="false"/>
                <w:sz w:val="17"/>
                <w:szCs w:val="17"/>
              </w:rPr>
              <w:t xml:space="preserve">JWT_SECRET currently equals the public placeholder value in the reviewed environment.</w:t>
            </w:r>
          </w:p>
        </w:tc>
        <w:tc>
          <w:tcPr>
            <w:tcW w:type="dxa" w:w="3080"/>
            <w:shd w:fill="F5C6C6" w:val="clear"/>
            <w:tcMar>
              <w:top w:type="dxa" w:w="80"/>
              <w:left w:type="dxa" w:w="100"/>
              <w:bottom w:type="dxa" w:w="80"/>
              <w:right w:type="dxa" w:w="100"/>
            </w:tcMar>
            <w:vAlign w:val="center"/>
          </w:tcPr>
          <w:p>
            <w:r>
              <w:rPr>
                <w:b/>
                <w:bCs/>
                <w:sz w:val="17"/>
                <w:szCs w:val="17"/>
              </w:rPr>
              <w:t xml:space="preserve">Critical</w:t>
            </w:r>
          </w:p>
        </w:tc>
      </w:tr>
      <w:tr>
        <w:tc>
          <w:tcPr>
            <w:tcW w:type="dxa" w:w="3200"/>
            <w:tcMar>
              <w:top w:type="dxa" w:w="80"/>
              <w:left w:type="dxa" w:w="100"/>
              <w:bottom w:type="dxa" w:w="80"/>
              <w:right w:type="dxa" w:w="100"/>
            </w:tcMar>
            <w:vAlign w:val="center"/>
          </w:tcPr>
          <w:p>
            <w:r>
              <w:rPr>
                <w:b/>
                <w:bCs/>
                <w:sz w:val="17"/>
                <w:szCs w:val="17"/>
              </w:rPr>
              <w:t xml:space="preserve">JWTs</w:t>
            </w:r>
          </w:p>
        </w:tc>
        <w:tc>
          <w:tcPr>
            <w:tcW w:type="dxa" w:w="3080"/>
            <w:tcMar>
              <w:top w:type="dxa" w:w="80"/>
              <w:left w:type="dxa" w:w="100"/>
              <w:bottom w:type="dxa" w:w="80"/>
              <w:right w:type="dxa" w:w="100"/>
            </w:tcMar>
            <w:vAlign w:val="center"/>
          </w:tcPr>
          <w:p>
            <w:r>
              <w:rPr>
                <w:b w:val="false"/>
                <w:bCs w:val="false"/>
                <w:sz w:val="17"/>
                <w:szCs w:val="17"/>
              </w:rPr>
              <w:t xml:space="preserve">localStorage exposure + no revocation list; forgeable if JWT_SECRET is weak/leaked.</w:t>
            </w:r>
          </w:p>
        </w:tc>
        <w:tc>
          <w:tcPr>
            <w:tcW w:type="dxa" w:w="3080"/>
            <w:shd w:fill="FBDDBB" w:val="clear"/>
            <w:tcMar>
              <w:top w:type="dxa" w:w="80"/>
              <w:left w:type="dxa" w:w="100"/>
              <w:bottom w:type="dxa" w:w="80"/>
              <w:right w:type="dxa" w:w="100"/>
            </w:tcMar>
            <w:vAlign w:val="center"/>
          </w:tcPr>
          <w:p>
            <w:r>
              <w:rPr>
                <w:b/>
                <w:bCs/>
                <w:sz w:val="17"/>
                <w:szCs w:val="17"/>
              </w:rPr>
              <w:t xml:space="preserve">High</w:t>
            </w:r>
          </w:p>
        </w:tc>
      </w:tr>
      <w:tr>
        <w:tc>
          <w:tcPr>
            <w:tcW w:type="dxa" w:w="3200"/>
            <w:tcMar>
              <w:top w:type="dxa" w:w="80"/>
              <w:left w:type="dxa" w:w="100"/>
              <w:bottom w:type="dxa" w:w="80"/>
              <w:right w:type="dxa" w:w="100"/>
            </w:tcMar>
            <w:vAlign w:val="center"/>
          </w:tcPr>
          <w:p>
            <w:r>
              <w:rPr>
                <w:b/>
                <w:bCs/>
                <w:sz w:val="17"/>
                <w:szCs w:val="17"/>
              </w:rPr>
              <w:t xml:space="preserve">User accounts</w:t>
            </w:r>
          </w:p>
        </w:tc>
        <w:tc>
          <w:tcPr>
            <w:tcW w:type="dxa" w:w="3080"/>
            <w:tcMar>
              <w:top w:type="dxa" w:w="80"/>
              <w:left w:type="dxa" w:w="100"/>
              <w:bottom w:type="dxa" w:w="80"/>
              <w:right w:type="dxa" w:w="100"/>
            </w:tcMar>
            <w:vAlign w:val="center"/>
          </w:tcPr>
          <w:p>
            <w:r>
              <w:rPr>
                <w:b w:val="false"/>
                <w:bCs w:val="false"/>
                <w:sz w:val="17"/>
                <w:szCs w:val="17"/>
              </w:rPr>
              <w:t xml:space="preserve">Unthrottled login enables brute force / credential stuffing.</w:t>
            </w:r>
          </w:p>
        </w:tc>
        <w:tc>
          <w:tcPr>
            <w:tcW w:type="dxa" w:w="3080"/>
            <w:shd w:fill="FBDDBB" w:val="clear"/>
            <w:tcMar>
              <w:top w:type="dxa" w:w="80"/>
              <w:left w:type="dxa" w:w="100"/>
              <w:bottom w:type="dxa" w:w="80"/>
              <w:right w:type="dxa" w:w="100"/>
            </w:tcMar>
            <w:vAlign w:val="center"/>
          </w:tcPr>
          <w:p>
            <w:r>
              <w:rPr>
                <w:b/>
                <w:bCs/>
                <w:sz w:val="17"/>
                <w:szCs w:val="17"/>
              </w:rPr>
              <w:t xml:space="preserve">High</w:t>
            </w:r>
          </w:p>
        </w:tc>
      </w:tr>
      <w:tr>
        <w:tc>
          <w:tcPr>
            <w:tcW w:type="dxa" w:w="3200"/>
            <w:tcMar>
              <w:top w:type="dxa" w:w="80"/>
              <w:left w:type="dxa" w:w="100"/>
              <w:bottom w:type="dxa" w:w="80"/>
              <w:right w:type="dxa" w:w="100"/>
            </w:tcMar>
            <w:vAlign w:val="center"/>
          </w:tcPr>
          <w:p>
            <w:r>
              <w:rPr>
                <w:b/>
                <w:bCs/>
                <w:sz w:val="17"/>
                <w:szCs w:val="17"/>
              </w:rPr>
              <w:t xml:space="preserve">Journal entries</w:t>
            </w:r>
          </w:p>
        </w:tc>
        <w:tc>
          <w:tcPr>
            <w:tcW w:type="dxa" w:w="3080"/>
            <w:tcMar>
              <w:top w:type="dxa" w:w="80"/>
              <w:left w:type="dxa" w:w="100"/>
              <w:bottom w:type="dxa" w:w="80"/>
              <w:right w:type="dxa" w:w="100"/>
            </w:tcMar>
            <w:vAlign w:val="center"/>
          </w:tcPr>
          <w:p>
            <w:r>
              <w:rPr>
                <w:b w:val="false"/>
                <w:bCs w:val="false"/>
                <w:sz w:val="17"/>
                <w:szCs w:val="17"/>
              </w:rPr>
              <w:t xml:space="preserve">Plaintext at rest + sent to third-party cloud LLMs by default.</w:t>
            </w:r>
          </w:p>
        </w:tc>
        <w:tc>
          <w:tcPr>
            <w:tcW w:type="dxa" w:w="3080"/>
            <w:shd w:fill="FBDDBB" w:val="clear"/>
            <w:tcMar>
              <w:top w:type="dxa" w:w="80"/>
              <w:left w:type="dxa" w:w="100"/>
              <w:bottom w:type="dxa" w:w="80"/>
              <w:right w:type="dxa" w:w="100"/>
            </w:tcMar>
            <w:vAlign w:val="center"/>
          </w:tcPr>
          <w:p>
            <w:r>
              <w:rPr>
                <w:b/>
                <w:bCs/>
                <w:sz w:val="17"/>
                <w:szCs w:val="17"/>
              </w:rPr>
              <w:t xml:space="preserve">High</w:t>
            </w:r>
          </w:p>
        </w:tc>
      </w:tr>
      <w:tr>
        <w:tc>
          <w:tcPr>
            <w:tcW w:type="dxa" w:w="3200"/>
            <w:tcMar>
              <w:top w:type="dxa" w:w="80"/>
              <w:left w:type="dxa" w:w="100"/>
              <w:bottom w:type="dxa" w:w="80"/>
              <w:right w:type="dxa" w:w="100"/>
            </w:tcMar>
            <w:vAlign w:val="center"/>
          </w:tcPr>
          <w:p>
            <w:r>
              <w:rPr>
                <w:b/>
                <w:bCs/>
                <w:sz w:val="17"/>
                <w:szCs w:val="17"/>
              </w:rPr>
              <w:t xml:space="preserve">Health data</w:t>
            </w:r>
          </w:p>
        </w:tc>
        <w:tc>
          <w:tcPr>
            <w:tcW w:type="dxa" w:w="3080"/>
            <w:tcMar>
              <w:top w:type="dxa" w:w="80"/>
              <w:left w:type="dxa" w:w="100"/>
              <w:bottom w:type="dxa" w:w="80"/>
              <w:right w:type="dxa" w:w="100"/>
            </w:tcMar>
            <w:vAlign w:val="center"/>
          </w:tcPr>
          <w:p>
            <w:r>
              <w:rPr>
                <w:b w:val="false"/>
                <w:bCs w:val="false"/>
                <w:sz w:val="17"/>
                <w:szCs w:val="17"/>
              </w:rPr>
              <w:t xml:space="preserve">Plaintext at rest + cloud LLM exposure (no write endpoint yet limits tampering).</w:t>
            </w:r>
          </w:p>
        </w:tc>
        <w:tc>
          <w:tcPr>
            <w:tcW w:type="dxa" w:w="3080"/>
            <w:shd w:fill="FBDDBB" w:val="clear"/>
            <w:tcMar>
              <w:top w:type="dxa" w:w="80"/>
              <w:left w:type="dxa" w:w="100"/>
              <w:bottom w:type="dxa" w:w="80"/>
              <w:right w:type="dxa" w:w="100"/>
            </w:tcMar>
            <w:vAlign w:val="center"/>
          </w:tcPr>
          <w:p>
            <w:r>
              <w:rPr>
                <w:b/>
                <w:bCs/>
                <w:sz w:val="17"/>
                <w:szCs w:val="17"/>
              </w:rPr>
              <w:t xml:space="preserve">High</w:t>
            </w:r>
          </w:p>
        </w:tc>
      </w:tr>
      <w:tr>
        <w:tc>
          <w:tcPr>
            <w:tcW w:type="dxa" w:w="3200"/>
            <w:tcMar>
              <w:top w:type="dxa" w:w="80"/>
              <w:left w:type="dxa" w:w="100"/>
              <w:bottom w:type="dxa" w:w="80"/>
              <w:right w:type="dxa" w:w="100"/>
            </w:tcMar>
            <w:vAlign w:val="center"/>
          </w:tcPr>
          <w:p>
            <w:r>
              <w:rPr>
                <w:b/>
                <w:bCs/>
                <w:sz w:val="17"/>
                <w:szCs w:val="17"/>
              </w:rPr>
              <w:t xml:space="preserve">Chat history</w:t>
            </w:r>
          </w:p>
        </w:tc>
        <w:tc>
          <w:tcPr>
            <w:tcW w:type="dxa" w:w="3080"/>
            <w:tcMar>
              <w:top w:type="dxa" w:w="80"/>
              <w:left w:type="dxa" w:w="100"/>
              <w:bottom w:type="dxa" w:w="80"/>
              <w:right w:type="dxa" w:w="100"/>
            </w:tcMar>
            <w:vAlign w:val="center"/>
          </w:tcPr>
          <w:p>
            <w:r>
              <w:rPr>
                <w:b w:val="false"/>
                <w:bCs w:val="false"/>
                <w:sz w:val="17"/>
                <w:szCs w:val="17"/>
              </w:rPr>
              <w:t xml:space="preserve">Same exposure as journal data, plus the live prompt-injection surface.</w:t>
            </w:r>
          </w:p>
        </w:tc>
        <w:tc>
          <w:tcPr>
            <w:tcW w:type="dxa" w:w="3080"/>
            <w:shd w:fill="FBDDBB" w:val="clear"/>
            <w:tcMar>
              <w:top w:type="dxa" w:w="80"/>
              <w:left w:type="dxa" w:w="100"/>
              <w:bottom w:type="dxa" w:w="80"/>
              <w:right w:type="dxa" w:w="100"/>
            </w:tcMar>
            <w:vAlign w:val="center"/>
          </w:tcPr>
          <w:p>
            <w:r>
              <w:rPr>
                <w:b/>
                <w:bCs/>
                <w:sz w:val="17"/>
                <w:szCs w:val="17"/>
              </w:rPr>
              <w:t xml:space="preserve">High</w:t>
            </w:r>
          </w:p>
        </w:tc>
      </w:tr>
      <w:tr>
        <w:tc>
          <w:tcPr>
            <w:tcW w:type="dxa" w:w="3200"/>
            <w:tcMar>
              <w:top w:type="dxa" w:w="80"/>
              <w:left w:type="dxa" w:w="100"/>
              <w:bottom w:type="dxa" w:w="80"/>
              <w:right w:type="dxa" w:w="100"/>
            </w:tcMar>
            <w:vAlign w:val="center"/>
          </w:tcPr>
          <w:p>
            <w:r>
              <w:rPr>
                <w:b/>
                <w:bCs/>
                <w:sz w:val="17"/>
                <w:szCs w:val="17"/>
              </w:rPr>
              <w:t xml:space="preserve">Cloud AI keys</w:t>
            </w:r>
          </w:p>
        </w:tc>
        <w:tc>
          <w:tcPr>
            <w:tcW w:type="dxa" w:w="3080"/>
            <w:tcMar>
              <w:top w:type="dxa" w:w="80"/>
              <w:left w:type="dxa" w:w="100"/>
              <w:bottom w:type="dxa" w:w="80"/>
              <w:right w:type="dxa" w:w="100"/>
            </w:tcMar>
            <w:vAlign w:val="center"/>
          </w:tcPr>
          <w:p>
            <w:r>
              <w:rPr>
                <w:b w:val="false"/>
                <w:bCs w:val="false"/>
                <w:sz w:val="17"/>
                <w:szCs w:val="17"/>
              </w:rPr>
              <w:t xml:space="preserve">Shared key across all users; leak enables undetectable financial abuse.</w:t>
            </w:r>
          </w:p>
        </w:tc>
        <w:tc>
          <w:tcPr>
            <w:tcW w:type="dxa" w:w="3080"/>
            <w:shd w:fill="FBDDBB" w:val="clear"/>
            <w:tcMar>
              <w:top w:type="dxa" w:w="80"/>
              <w:left w:type="dxa" w:w="100"/>
              <w:bottom w:type="dxa" w:w="80"/>
              <w:right w:type="dxa" w:w="100"/>
            </w:tcMar>
            <w:vAlign w:val="center"/>
          </w:tcPr>
          <w:p>
            <w:r>
              <w:rPr>
                <w:b/>
                <w:bCs/>
                <w:sz w:val="17"/>
                <w:szCs w:val="17"/>
              </w:rPr>
              <w:t xml:space="preserve">High</w:t>
            </w:r>
          </w:p>
        </w:tc>
      </w:tr>
      <w:tr>
        <w:tc>
          <w:tcPr>
            <w:tcW w:type="dxa" w:w="3200"/>
            <w:tcMar>
              <w:top w:type="dxa" w:w="80"/>
              <w:left w:type="dxa" w:w="100"/>
              <w:bottom w:type="dxa" w:w="80"/>
              <w:right w:type="dxa" w:w="100"/>
            </w:tcMar>
            <w:vAlign w:val="center"/>
          </w:tcPr>
          <w:p>
            <w:r>
              <w:rPr>
                <w:b/>
                <w:bCs/>
                <w:sz w:val="17"/>
                <w:szCs w:val="17"/>
              </w:rPr>
              <w:t xml:space="preserve">AI prompts</w:t>
            </w:r>
          </w:p>
        </w:tc>
        <w:tc>
          <w:tcPr>
            <w:tcW w:type="dxa" w:w="3080"/>
            <w:tcMar>
              <w:top w:type="dxa" w:w="80"/>
              <w:left w:type="dxa" w:w="100"/>
              <w:bottom w:type="dxa" w:w="80"/>
              <w:right w:type="dxa" w:w="100"/>
            </w:tcMar>
            <w:vAlign w:val="center"/>
          </w:tcPr>
          <w:p>
            <w:r>
              <w:rPr>
                <w:b w:val="false"/>
                <w:bCs w:val="false"/>
                <w:sz w:val="17"/>
                <w:szCs w:val="17"/>
              </w:rPr>
              <w:t xml:space="preserve">Sent wholesale to third parties on cloud fallback; injection surface open.</w:t>
            </w:r>
          </w:p>
        </w:tc>
        <w:tc>
          <w:tcPr>
            <w:tcW w:type="dxa" w:w="3080"/>
            <w:shd w:fill="FCF3B0" w:val="clear"/>
            <w:tcMar>
              <w:top w:type="dxa" w:w="80"/>
              <w:left w:type="dxa" w:w="100"/>
              <w:bottom w:type="dxa" w:w="80"/>
              <w:right w:type="dxa" w:w="100"/>
            </w:tcMar>
            <w:vAlign w:val="center"/>
          </w:tcPr>
          <w:p>
            <w:r>
              <w:rPr>
                <w:b/>
                <w:bCs/>
                <w:sz w:val="17"/>
                <w:szCs w:val="17"/>
              </w:rPr>
              <w:t xml:space="preserve">Medium</w:t>
            </w:r>
          </w:p>
        </w:tc>
      </w:tr>
      <w:tr>
        <w:tc>
          <w:tcPr>
            <w:tcW w:type="dxa" w:w="3200"/>
            <w:tcMar>
              <w:top w:type="dxa" w:w="80"/>
              <w:left w:type="dxa" w:w="100"/>
              <w:bottom w:type="dxa" w:w="80"/>
              <w:right w:type="dxa" w:w="100"/>
            </w:tcMar>
            <w:vAlign w:val="center"/>
          </w:tcPr>
          <w:p>
            <w:r>
              <w:rPr>
                <w:b/>
                <w:bCs/>
                <w:sz w:val="17"/>
                <w:szCs w:val="17"/>
              </w:rPr>
              <w:t xml:space="preserve">Audit logs</w:t>
            </w:r>
          </w:p>
        </w:tc>
        <w:tc>
          <w:tcPr>
            <w:tcW w:type="dxa" w:w="3080"/>
            <w:tcMar>
              <w:top w:type="dxa" w:w="80"/>
              <w:left w:type="dxa" w:w="100"/>
              <w:bottom w:type="dxa" w:w="80"/>
              <w:right w:type="dxa" w:w="100"/>
            </w:tcMar>
            <w:vAlign w:val="center"/>
          </w:tcPr>
          <w:p>
            <w:r>
              <w:rPr>
                <w:b w:val="false"/>
                <w:bCs w:val="false"/>
                <w:sz w:val="17"/>
                <w:szCs w:val="17"/>
              </w:rPr>
              <w:t xml:space="preserve">Not externally reachable, but tamperable/reconstructable by an insider.</w:t>
            </w:r>
          </w:p>
        </w:tc>
        <w:tc>
          <w:tcPr>
            <w:tcW w:type="dxa" w:w="3080"/>
            <w:shd w:fill="FCF3B0" w:val="clear"/>
            <w:tcMar>
              <w:top w:type="dxa" w:w="80"/>
              <w:left w:type="dxa" w:w="100"/>
              <w:bottom w:type="dxa" w:w="80"/>
              <w:right w:type="dxa" w:w="100"/>
            </w:tcMar>
            <w:vAlign w:val="center"/>
          </w:tcPr>
          <w:p>
            <w:r>
              <w:rPr>
                <w:b/>
                <w:bCs/>
                <w:sz w:val="17"/>
                <w:szCs w:val="17"/>
              </w:rPr>
              <w:t xml:space="preserve">Medium</w:t>
            </w:r>
          </w:p>
        </w:tc>
      </w:tr>
      <w:tr>
        <w:tc>
          <w:tcPr>
            <w:tcW w:type="dxa" w:w="3200"/>
            <w:tcMar>
              <w:top w:type="dxa" w:w="80"/>
              <w:left w:type="dxa" w:w="100"/>
              <w:bottom w:type="dxa" w:w="80"/>
              <w:right w:type="dxa" w:w="100"/>
            </w:tcMar>
            <w:vAlign w:val="center"/>
          </w:tcPr>
          <w:p>
            <w:r>
              <w:rPr>
                <w:b/>
                <w:bCs/>
                <w:sz w:val="17"/>
                <w:szCs w:val="17"/>
              </w:rPr>
              <w:t xml:space="preserve">Passwords</w:t>
            </w:r>
          </w:p>
        </w:tc>
        <w:tc>
          <w:tcPr>
            <w:tcW w:type="dxa" w:w="3080"/>
            <w:tcMar>
              <w:top w:type="dxa" w:w="80"/>
              <w:left w:type="dxa" w:w="100"/>
              <w:bottom w:type="dxa" w:w="80"/>
              <w:right w:type="dxa" w:w="100"/>
            </w:tcMar>
            <w:vAlign w:val="center"/>
          </w:tcPr>
          <w:p>
            <w:r>
              <w:rPr>
                <w:b w:val="false"/>
                <w:bCs w:val="false"/>
                <w:sz w:val="17"/>
                <w:szCs w:val="17"/>
              </w:rPr>
              <w:t xml:space="preserve">bcrypt-protected, but no rotation path and no breach-list check.</w:t>
            </w:r>
          </w:p>
        </w:tc>
        <w:tc>
          <w:tcPr>
            <w:tcW w:type="dxa" w:w="3080"/>
            <w:shd w:fill="FCF3B0" w:val="clear"/>
            <w:tcMar>
              <w:top w:type="dxa" w:w="80"/>
              <w:left w:type="dxa" w:w="100"/>
              <w:bottom w:type="dxa" w:w="80"/>
              <w:right w:type="dxa" w:w="100"/>
            </w:tcMar>
            <w:vAlign w:val="center"/>
          </w:tcPr>
          <w:p>
            <w:r>
              <w:rPr>
                <w:b/>
                <w:bCs/>
                <w:sz w:val="17"/>
                <w:szCs w:val="17"/>
              </w:rPr>
              <w:t xml:space="preserve">Medium</w:t>
            </w:r>
          </w:p>
        </w:tc>
      </w:tr>
      <w:tr>
        <w:tc>
          <w:tcPr>
            <w:tcW w:type="dxa" w:w="3200"/>
            <w:tcMar>
              <w:top w:type="dxa" w:w="80"/>
              <w:left w:type="dxa" w:w="100"/>
              <w:bottom w:type="dxa" w:w="80"/>
              <w:right w:type="dxa" w:w="100"/>
            </w:tcMar>
            <w:vAlign w:val="center"/>
          </w:tcPr>
          <w:p>
            <w:r>
              <w:rPr>
                <w:b/>
                <w:bCs/>
                <w:sz w:val="17"/>
                <w:szCs w:val="17"/>
              </w:rPr>
              <w:t xml:space="preserve">Ollama endpoint</w:t>
            </w:r>
          </w:p>
        </w:tc>
        <w:tc>
          <w:tcPr>
            <w:tcW w:type="dxa" w:w="3080"/>
            <w:tcMar>
              <w:top w:type="dxa" w:w="80"/>
              <w:left w:type="dxa" w:w="100"/>
              <w:bottom w:type="dxa" w:w="80"/>
              <w:right w:type="dxa" w:w="100"/>
            </w:tcMar>
            <w:vAlign w:val="center"/>
          </w:tcPr>
          <w:p>
            <w:r>
              <w:rPr>
                <w:b w:val="false"/>
                <w:bCs w:val="false"/>
                <w:sz w:val="17"/>
                <w:szCs w:val="17"/>
              </w:rPr>
              <w:t xml:space="preserve">Loopback-default; main risk is an availability-to-confidentiality pivot.</w:t>
            </w:r>
          </w:p>
        </w:tc>
        <w:tc>
          <w:tcPr>
            <w:tcW w:type="dxa" w:w="3080"/>
            <w:shd w:fill="D9EAD3" w:val="clear"/>
            <w:tcMar>
              <w:top w:type="dxa" w:w="80"/>
              <w:left w:type="dxa" w:w="100"/>
              <w:bottom w:type="dxa" w:w="80"/>
              <w:right w:type="dxa" w:w="100"/>
            </w:tcMar>
            <w:vAlign w:val="center"/>
          </w:tcPr>
          <w:p>
            <w:r>
              <w:rPr>
                <w:b/>
                <w:bCs/>
                <w:sz w:val="17"/>
                <w:szCs w:val="17"/>
              </w:rPr>
              <w:t xml:space="preserve">Low</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pPr>
    <w:rPr>
      <w:b/>
      <w:bCs/>
      <w:color w:val="1F2937"/>
      <w:sz w:val="30"/>
      <w:szCs w:val="30"/>
    </w:rPr>
  </w:style>
  <w:style w:type="paragraph" w:styleId="Heading2">
    <w:name w:val="Heading 2"/>
    <w:basedOn w:val="Normal"/>
    <w:next w:val="Normal"/>
    <w:qFormat/>
    <w:pPr>
      <w:spacing w:after="140" w:before="260"/>
    </w:pPr>
    <w:rPr>
      <w:b/>
      <w:bCs/>
      <w:color w:val="374151"/>
      <w:sz w:val="25"/>
      <w:szCs w:val="25"/>
    </w:rPr>
  </w:style>
  <w:style w:type="paragraph" w:styleId="Heading3">
    <w:name w:val="Heading 3"/>
    <w:basedOn w:val="Normal"/>
    <w:next w:val="Normal"/>
    <w:qFormat/>
    <w:pPr>
      <w:spacing w:after="100" w:before="200"/>
    </w:pPr>
    <w:rPr>
      <w:b/>
      <w:bCs/>
      <w:i/>
      <w:iCs/>
      <w:color w:val="4B556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2026-08-01T09:20:28.450Z</dcterms:created>
  <dcterms:modified xsi:type="dcterms:W3CDTF">2026-08-01T09:20:28.450Z</dcterms:modified>
</cp:coreProperties>
</file>

<file path=docProps/custom.xml><?xml version="1.0" encoding="utf-8"?>
<Properties xmlns="http://schemas.openxmlformats.org/officeDocument/2006/custom-properties" xmlns:vt="http://schemas.openxmlformats.org/officeDocument/2006/docPropsVTypes"/>
</file>