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56"/>
          <w:szCs w:val="56"/>
        </w:rPr>
        <w:t xml:space="preserve">ReflectAI (Equoria)</w:t>
      </w:r>
    </w:p>
    <w:p>
      <w:pPr>
        <w:spacing w:after="100"/>
        <w:jc w:val="center"/>
      </w:pPr>
      <w:r>
        <w:rPr>
          <w:b/>
          <w:bCs/>
          <w:color w:val="444444"/>
          <w:sz w:val="36"/>
          <w:szCs w:val="36"/>
        </w:rPr>
        <w:t xml:space="preserve">Phase 3 — Security Checklist</w:t>
      </w:r>
    </w:p>
    <w:p>
      <w:pPr>
        <w:spacing w:after="80"/>
        <w:jc w:val="center"/>
      </w:pPr>
      <w:r>
        <w:rPr>
          <w:i/>
          <w:iCs/>
          <w:color w:val="666666"/>
          <w:sz w:val="22"/>
          <w:szCs w:val="22"/>
        </w:rPr>
        <w:t xml:space="preserve">Category-by-category pass / partial / fail review, item by item</w:t>
      </w:r>
    </w:p>
    <w:p>
      <w:pPr>
        <w:spacing w:before="1000"/>
      </w:pPr>
    </w:p>
    <w:p>
      <w:pPr>
        <w:spacing w:after="160" w:line="276"/>
      </w:pPr>
      <w:r>
        <w:rPr>
          <w:b/>
          <w:bCs/>
        </w:rPr>
        <w:t xml:space="preserve">Repository: </w:t>
      </w:r>
      <w:r>
        <w:t xml:space="preserve">reflect-ai (client: React/Vite, server: Node/Express/MongoDB)</w:t>
      </w:r>
    </w:p>
    <w:p>
      <w:pPr>
        <w:spacing w:after="160" w:line="276"/>
      </w:pPr>
      <w:r>
        <w:rPr>
          <w:b/>
          <w:bCs/>
        </w:rPr>
        <w:t xml:space="preserve">Companion documents: </w:t>
      </w:r>
      <w:r>
        <w:t xml:space="preserve">Phase 1 — Security Audit Report; Phase 2 — Threat Model</w:t>
      </w:r>
    </w:p>
    <w:p>
      <w:pPr>
        <w:spacing w:after="160" w:line="276"/>
      </w:pPr>
      <w:r>
        <w:rPr>
          <w:b/>
          <w:bCs/>
        </w:rPr>
        <w:t xml:space="preserve">Review date: </w:t>
      </w:r>
      <w:r>
        <w:t xml:space="preserve">2026-08-01</w:t>
      </w:r>
    </w:p>
    <w:p>
      <w:pPr>
        <w:spacing w:after="160" w:line="276"/>
      </w:pPr>
      <w:r>
        <w:rPr>
          <w:b/>
          <w:bCs/>
        </w:rPr>
        <w:t xml:space="preserve">Status legend: </w:t>
      </w:r>
      <w:r>
        <w:t xml:space="preserve">Pass = control present and effective · Partial = present but incomplete/bypassable · Fail = missing or ineffective · N/A = not applicable / not verifiable from source code alone</w:t>
      </w:r>
    </w:p>
    <w:p>
      <w:r>
        <w:br w:type="page"/>
      </w:r>
    </w:p>
    <w:p>
      <w:pPr>
        <w:pStyle w:val="Heading1"/>
        <w:spacing w:after="200" w:before="400"/>
      </w:pPr>
      <w:r>
        <w:t xml:space="preserve">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Password hashing</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bcryptjs at cost factor 10 (server/src/modules/auth/routes.js) on registration; adequate work factor for a per-account salted hash.</w:t>
            </w:r>
          </w:p>
        </w:tc>
      </w:tr>
      <w:tr>
        <w:tc>
          <w:tcPr>
            <w:tcW w:type="dxa" w:w="2000"/>
            <w:tcMar>
              <w:top w:type="dxa" w:w="80"/>
              <w:left w:type="dxa" w:w="100"/>
              <w:bottom w:type="dxa" w:w="80"/>
              <w:right w:type="dxa" w:w="100"/>
            </w:tcMar>
            <w:vAlign w:val="center"/>
          </w:tcPr>
          <w:p>
            <w:r>
              <w:rPr>
                <w:b/>
                <w:bCs/>
                <w:sz w:val="17"/>
                <w:szCs w:val="17"/>
              </w:rPr>
              <w:t xml:space="preserve">Password strength</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Zod enforces 8+ characters with upper/lower/digit (authSchemas.js). No maximum length, no check against known-breached password lists, no special-character requirement.</w:t>
            </w:r>
          </w:p>
        </w:tc>
      </w:tr>
      <w:tr>
        <w:tc>
          <w:tcPr>
            <w:tcW w:type="dxa" w:w="2000"/>
            <w:tcMar>
              <w:top w:type="dxa" w:w="80"/>
              <w:left w:type="dxa" w:w="100"/>
              <w:bottom w:type="dxa" w:w="80"/>
              <w:right w:type="dxa" w:w="100"/>
            </w:tcMar>
            <w:vAlign w:val="center"/>
          </w:tcPr>
          <w:p>
            <w:r>
              <w:rPr>
                <w:b/>
                <w:bCs/>
                <w:sz w:val="17"/>
                <w:szCs w:val="17"/>
              </w:rPr>
              <w:t xml:space="preserve">Timing attacks</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Login returns immediately on an unknown email (line 41-43 of auth/routes.js) before ever calling bcrypt.compare (line 45). The ~100ms+ bcrypt cost only occurs for existing emails, so response time reliably distinguishes registered vs. unregistered addresses even though the error message is identical in both branches.</w:t>
            </w:r>
          </w:p>
        </w:tc>
      </w:tr>
      <w:tr>
        <w:tc>
          <w:tcPr>
            <w:tcW w:type="dxa" w:w="2000"/>
            <w:tcMar>
              <w:top w:type="dxa" w:w="80"/>
              <w:left w:type="dxa" w:w="100"/>
              <w:bottom w:type="dxa" w:w="80"/>
              <w:right w:type="dxa" w:w="100"/>
            </w:tcMar>
            <w:vAlign w:val="center"/>
          </w:tcPr>
          <w:p>
            <w:r>
              <w:rPr>
                <w:b/>
                <w:bCs/>
                <w:sz w:val="17"/>
                <w:szCs w:val="17"/>
              </w:rPr>
              <w:t xml:space="preserve">Email enumeration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Two channels: (1) register returns a distinct 409 'Email already exists' vs. login's generic 401; (2) the timing side-channel above. Message-based enumeration is blocked on login but not register; timing-based enumeration is open on both.</w:t>
            </w:r>
          </w:p>
        </w:tc>
      </w:tr>
      <w:tr>
        <w:tc>
          <w:tcPr>
            <w:tcW w:type="dxa" w:w="2000"/>
            <w:tcMar>
              <w:top w:type="dxa" w:w="80"/>
              <w:left w:type="dxa" w:w="100"/>
              <w:bottom w:type="dxa" w:w="80"/>
              <w:right w:type="dxa" w:w="100"/>
            </w:tcMar>
            <w:vAlign w:val="center"/>
          </w:tcPr>
          <w:p>
            <w:r>
              <w:rPr>
                <w:b/>
                <w:bCs/>
                <w:sz w:val="17"/>
                <w:szCs w:val="17"/>
              </w:rPr>
              <w:t xml:space="preserve">JWT expiry</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Fixed 7-day expiresIn is set on every token (auth/routes.js). Reasonable as an upper bound, but long given there is no revocation mechanism to shorten it early.</w:t>
            </w:r>
          </w:p>
        </w:tc>
      </w:tr>
      <w:tr>
        <w:tc>
          <w:tcPr>
            <w:tcW w:type="dxa" w:w="2000"/>
            <w:tcMar>
              <w:top w:type="dxa" w:w="80"/>
              <w:left w:type="dxa" w:w="100"/>
              <w:bottom w:type="dxa" w:w="80"/>
              <w:right w:type="dxa" w:w="100"/>
            </w:tcMar>
            <w:vAlign w:val="center"/>
          </w:tcPr>
          <w:p>
            <w:r>
              <w:rPr>
                <w:b/>
                <w:bCs/>
                <w:sz w:val="17"/>
                <w:szCs w:val="17"/>
              </w:rPr>
              <w:t xml:space="preserve">JWT signing algorithm</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jwt.sign/jwt.verify never pass an explicit algorithms option. HS256 is used because a plain secret string is supplied, and jsonwebtoken v9's own defaults block classic 'alg:none' bypass — but this app does not explicitly pin algorithms: ['HS256'] on verify, so safety currently rests on library defaults rather than an app-level control.</w:t>
            </w:r>
          </w:p>
        </w:tc>
      </w:tr>
      <w:tr>
        <w:tc>
          <w:tcPr>
            <w:tcW w:type="dxa" w:w="2000"/>
            <w:tcMar>
              <w:top w:type="dxa" w:w="80"/>
              <w:left w:type="dxa" w:w="100"/>
              <w:bottom w:type="dxa" w:w="80"/>
              <w:right w:type="dxa" w:w="100"/>
            </w:tcMar>
            <w:vAlign w:val="center"/>
          </w:tcPr>
          <w:p>
            <w:r>
              <w:rPr>
                <w:b/>
                <w:bCs/>
                <w:sz w:val="17"/>
                <w:szCs w:val="17"/>
              </w:rPr>
              <w:t xml:space="preserve">Secret rotation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 key-id (kid) support, no dual-secret grace window, no rotation tooling. JWT_SECRET is a single static value; rotating it invalidates every outstanding token at once with no graceful path.</w:t>
            </w:r>
          </w:p>
        </w:tc>
      </w:tr>
      <w:tr>
        <w:tc>
          <w:tcPr>
            <w:tcW w:type="dxa" w:w="2000"/>
            <w:tcMar>
              <w:top w:type="dxa" w:w="80"/>
              <w:left w:type="dxa" w:w="100"/>
              <w:bottom w:type="dxa" w:w="80"/>
              <w:right w:type="dxa" w:w="100"/>
            </w:tcMar>
            <w:vAlign w:val="center"/>
          </w:tcPr>
          <w:p>
            <w:r>
              <w:rPr>
                <w:b/>
                <w:bCs/>
                <w:sz w:val="17"/>
                <w:szCs w:val="17"/>
              </w:rPr>
              <w:t xml:space="preserve">Refresh tokens</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Not implemented. A single long-lived access token (7 days) is the entire session model — no short-lived access token + refresh token pair.</w:t>
            </w:r>
          </w:p>
        </w:tc>
      </w:tr>
      <w:tr>
        <w:tc>
          <w:tcPr>
            <w:tcW w:type="dxa" w:w="2000"/>
            <w:tcMar>
              <w:top w:type="dxa" w:w="80"/>
              <w:left w:type="dxa" w:w="100"/>
              <w:bottom w:type="dxa" w:w="80"/>
              <w:right w:type="dxa" w:w="100"/>
            </w:tcMar>
            <w:vAlign w:val="center"/>
          </w:tcPr>
          <w:p>
            <w:r>
              <w:rPr>
                <w:b/>
                <w:bCs/>
                <w:sz w:val="17"/>
                <w:szCs w:val="17"/>
              </w:rPr>
              <w:t xml:space="preserve">Logout invalidation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'Logout' (AuthContext.jsx) only removes the localStorage token client-side. There is no server-side blacklist or session store, so a copied/stolen token remains valid for its full remaining lifetime regardless of the legitimate user logging out.</w:t>
            </w:r>
          </w:p>
        </w:tc>
      </w:tr>
    </w:tbl>
    <w:p>
      <w:r>
        <w:br w:type="page"/>
      </w:r>
    </w:p>
    <w:p>
      <w:pPr>
        <w:pStyle w:val="Heading1"/>
        <w:spacing w:after="200" w:before="400"/>
      </w:pPr>
      <w:r>
        <w:t xml:space="preserve">2. Authorization — Endpoint-by-Endpoint Review</w:t>
      </w:r>
    </w:p>
    <w:p>
      <w:pPr>
        <w:spacing w:after="160" w:line="276"/>
      </w:pPr>
      <w:r>
        <w:t xml:space="preserve">Fixed question applied to every endpoint: can User A ever access User B's data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300"/>
        <w:gridCol w:w="3460"/>
      </w:tblGrid>
      <w:tr>
        <w:trPr>
          <w:tblHeader/>
        </w:trPr>
        <w:tc>
          <w:tcPr>
            <w:tcW w:type="dxa" w:w="2500"/>
            <w:shd w:fill="D9D9D9" w:val="clear"/>
            <w:tcMar>
              <w:top w:type="dxa" w:w="80"/>
              <w:left w:type="dxa" w:w="100"/>
              <w:bottom w:type="dxa" w:w="80"/>
              <w:right w:type="dxa" w:w="100"/>
            </w:tcMar>
            <w:vAlign w:val="center"/>
          </w:tcPr>
          <w:p>
            <w:r>
              <w:rPr>
                <w:b/>
                <w:bCs/>
                <w:sz w:val="17"/>
                <w:szCs w:val="17"/>
              </w:rPr>
              <w:t xml:space="preserve">Endpoint</w:t>
            </w:r>
          </w:p>
        </w:tc>
        <w:tc>
          <w:tcPr>
            <w:tcW w:type="dxa" w:w="2100"/>
            <w:shd w:fill="D9D9D9" w:val="clear"/>
            <w:tcMar>
              <w:top w:type="dxa" w:w="80"/>
              <w:left w:type="dxa" w:w="100"/>
              <w:bottom w:type="dxa" w:w="80"/>
              <w:right w:type="dxa" w:w="100"/>
            </w:tcMar>
            <w:vAlign w:val="center"/>
          </w:tcPr>
          <w:p>
            <w:r>
              <w:rPr>
                <w:b/>
                <w:bCs/>
                <w:sz w:val="17"/>
                <w:szCs w:val="17"/>
              </w:rPr>
              <w:t xml:space="preserve">Data touched</w:t>
            </w:r>
          </w:p>
        </w:tc>
        <w:tc>
          <w:tcPr>
            <w:tcW w:type="dxa" w:w="1300"/>
            <w:shd w:fill="D9D9D9" w:val="clear"/>
            <w:tcMar>
              <w:top w:type="dxa" w:w="80"/>
              <w:left w:type="dxa" w:w="100"/>
              <w:bottom w:type="dxa" w:w="80"/>
              <w:right w:type="dxa" w:w="100"/>
            </w:tcMar>
            <w:vAlign w:val="center"/>
          </w:tcPr>
          <w:p>
            <w:r>
              <w:rPr>
                <w:b/>
                <w:bCs/>
                <w:sz w:val="17"/>
                <w:szCs w:val="17"/>
              </w:rPr>
              <w:t xml:space="preserve">A → B access?</w:t>
            </w:r>
          </w:p>
        </w:tc>
        <w:tc>
          <w:tcPr>
            <w:tcW w:type="dxa" w:w="3460"/>
            <w:shd w:fill="D9D9D9" w:val="clear"/>
            <w:tcMar>
              <w:top w:type="dxa" w:w="80"/>
              <w:left w:type="dxa" w:w="100"/>
              <w:bottom w:type="dxa" w:w="80"/>
              <w:right w:type="dxa" w:w="100"/>
            </w:tcMar>
            <w:vAlign w:val="center"/>
          </w:tcPr>
          <w:p>
            <w:r>
              <w:rPr>
                <w:b/>
                <w:bCs/>
                <w:sz w:val="17"/>
                <w:szCs w:val="17"/>
              </w:rPr>
              <w:t xml:space="preserve">Why</w:t>
            </w:r>
          </w:p>
        </w:tc>
      </w:tr>
      <w:tr>
        <w:tc>
          <w:tcPr>
            <w:tcW w:type="dxa" w:w="2500"/>
            <w:tcMar>
              <w:top w:type="dxa" w:w="80"/>
              <w:left w:type="dxa" w:w="100"/>
              <w:bottom w:type="dxa" w:w="80"/>
              <w:right w:type="dxa" w:w="100"/>
            </w:tcMar>
            <w:vAlign w:val="center"/>
          </w:tcPr>
          <w:p>
            <w:r>
              <w:rPr>
                <w:b/>
                <w:bCs/>
                <w:sz w:val="17"/>
                <w:szCs w:val="17"/>
              </w:rPr>
              <w:t xml:space="preserve">POST /api/auth/register</w:t>
            </w:r>
          </w:p>
        </w:tc>
        <w:tc>
          <w:tcPr>
            <w:tcW w:type="dxa" w:w="2100"/>
            <w:tcMar>
              <w:top w:type="dxa" w:w="80"/>
              <w:left w:type="dxa" w:w="100"/>
              <w:bottom w:type="dxa" w:w="80"/>
              <w:right w:type="dxa" w:w="100"/>
            </w:tcMar>
            <w:vAlign w:val="center"/>
          </w:tcPr>
          <w:p>
            <w:r>
              <w:rPr>
                <w:b w:val="false"/>
                <w:bCs w:val="false"/>
                <w:sz w:val="17"/>
                <w:szCs w:val="17"/>
              </w:rPr>
              <w:t xml:space="preserve">Creates a new User document.</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Only writes fields from the validated body (name, email, passwordHash); no existing user's data is read or touched.</w:t>
            </w:r>
          </w:p>
        </w:tc>
      </w:tr>
      <w:tr>
        <w:tc>
          <w:tcPr>
            <w:tcW w:type="dxa" w:w="2500"/>
            <w:tcMar>
              <w:top w:type="dxa" w:w="80"/>
              <w:left w:type="dxa" w:w="100"/>
              <w:bottom w:type="dxa" w:w="80"/>
              <w:right w:type="dxa" w:w="100"/>
            </w:tcMar>
            <w:vAlign w:val="center"/>
          </w:tcPr>
          <w:p>
            <w:r>
              <w:rPr>
                <w:b/>
                <w:bCs/>
                <w:sz w:val="17"/>
                <w:szCs w:val="17"/>
              </w:rPr>
              <w:t xml:space="preserve">POST /api/auth/login</w:t>
            </w:r>
          </w:p>
        </w:tc>
        <w:tc>
          <w:tcPr>
            <w:tcW w:type="dxa" w:w="2100"/>
            <w:tcMar>
              <w:top w:type="dxa" w:w="80"/>
              <w:left w:type="dxa" w:w="100"/>
              <w:bottom w:type="dxa" w:w="80"/>
              <w:right w:type="dxa" w:w="100"/>
            </w:tcMar>
            <w:vAlign w:val="center"/>
          </w:tcPr>
          <w:p>
            <w:r>
              <w:rPr>
                <w:b w:val="false"/>
                <w:bCs w:val="false"/>
                <w:sz w:val="17"/>
                <w:szCs w:val="17"/>
              </w:rPr>
              <w:t xml:space="preserve">Reads the matching User by email.</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Issues a token only for whichever account the submitted credentials actually match.</w:t>
            </w:r>
          </w:p>
        </w:tc>
      </w:tr>
      <w:tr>
        <w:tc>
          <w:tcPr>
            <w:tcW w:type="dxa" w:w="2500"/>
            <w:tcMar>
              <w:top w:type="dxa" w:w="80"/>
              <w:left w:type="dxa" w:w="100"/>
              <w:bottom w:type="dxa" w:w="80"/>
              <w:right w:type="dxa" w:w="100"/>
            </w:tcMar>
            <w:vAlign w:val="center"/>
          </w:tcPr>
          <w:p>
            <w:r>
              <w:rPr>
                <w:b/>
                <w:bCs/>
                <w:sz w:val="17"/>
                <w:szCs w:val="17"/>
              </w:rPr>
              <w:t xml:space="preserve">GET /api/auth/me</w:t>
            </w:r>
          </w:p>
        </w:tc>
        <w:tc>
          <w:tcPr>
            <w:tcW w:type="dxa" w:w="2100"/>
            <w:tcMar>
              <w:top w:type="dxa" w:w="80"/>
              <w:left w:type="dxa" w:w="100"/>
              <w:bottom w:type="dxa" w:w="80"/>
              <w:right w:type="dxa" w:w="100"/>
            </w:tcMar>
            <w:vAlign w:val="center"/>
          </w:tcPr>
          <w:p>
            <w:r>
              <w:rPr>
                <w:b w:val="false"/>
                <w:bCs w:val="false"/>
                <w:sz w:val="17"/>
                <w:szCs w:val="17"/>
              </w:rPr>
              <w:t xml:space="preserve">Reads req.user.</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req.user is derived strictly from the verified JWT's userId (auth middleware), never from client input.</w:t>
            </w:r>
          </w:p>
        </w:tc>
      </w:tr>
      <w:tr>
        <w:tc>
          <w:tcPr>
            <w:tcW w:type="dxa" w:w="2500"/>
            <w:tcMar>
              <w:top w:type="dxa" w:w="80"/>
              <w:left w:type="dxa" w:w="100"/>
              <w:bottom w:type="dxa" w:w="80"/>
              <w:right w:type="dxa" w:w="100"/>
            </w:tcMar>
            <w:vAlign w:val="center"/>
          </w:tcPr>
          <w:p>
            <w:r>
              <w:rPr>
                <w:b/>
                <w:bCs/>
                <w:sz w:val="17"/>
                <w:szCs w:val="17"/>
              </w:rPr>
              <w:t xml:space="preserve">GET /api/dashboard/summary</w:t>
            </w:r>
          </w:p>
        </w:tc>
        <w:tc>
          <w:tcPr>
            <w:tcW w:type="dxa" w:w="2100"/>
            <w:tcMar>
              <w:top w:type="dxa" w:w="80"/>
              <w:left w:type="dxa" w:w="100"/>
              <w:bottom w:type="dxa" w:w="80"/>
              <w:right w:type="dxa" w:w="100"/>
            </w:tcMar>
            <w:vAlign w:val="center"/>
          </w:tcPr>
          <w:p>
            <w:r>
              <w:rPr>
                <w:b w:val="false"/>
                <w:bCs w:val="false"/>
                <w:sz w:val="17"/>
                <w:szCs w:val="17"/>
              </w:rPr>
              <w:t xml:space="preserve">JournalEntry, HealthData.</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Every query filters { userId: req.user._id } (dashboard/routes.js); no id parameter is accepted from the client.</w:t>
            </w:r>
          </w:p>
        </w:tc>
      </w:tr>
      <w:tr>
        <w:tc>
          <w:tcPr>
            <w:tcW w:type="dxa" w:w="2500"/>
            <w:tcMar>
              <w:top w:type="dxa" w:w="80"/>
              <w:left w:type="dxa" w:w="100"/>
              <w:bottom w:type="dxa" w:w="80"/>
              <w:right w:type="dxa" w:w="100"/>
            </w:tcMar>
            <w:vAlign w:val="center"/>
          </w:tcPr>
          <w:p>
            <w:r>
              <w:rPr>
                <w:b/>
                <w:bCs/>
                <w:sz w:val="17"/>
                <w:szCs w:val="17"/>
              </w:rPr>
              <w:t xml:space="preserve">POST /api/journal/quick-entry</w:t>
            </w:r>
          </w:p>
        </w:tc>
        <w:tc>
          <w:tcPr>
            <w:tcW w:type="dxa" w:w="2100"/>
            <w:tcMar>
              <w:top w:type="dxa" w:w="80"/>
              <w:left w:type="dxa" w:w="100"/>
              <w:bottom w:type="dxa" w:w="80"/>
              <w:right w:type="dxa" w:w="100"/>
            </w:tcMar>
            <w:vAlign w:val="center"/>
          </w:tcPr>
          <w:p>
            <w:r>
              <w:rPr>
                <w:b w:val="false"/>
                <w:bCs w:val="false"/>
                <w:sz w:val="17"/>
                <w:szCs w:val="17"/>
              </w:rPr>
              <w:t xml:space="preserve">Creates a JournalEntry.</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userId: req.user._id is set explicitly in the create call; the client cannot supply a different owner.</w:t>
            </w:r>
          </w:p>
        </w:tc>
      </w:tr>
      <w:tr>
        <w:tc>
          <w:tcPr>
            <w:tcW w:type="dxa" w:w="2500"/>
            <w:tcMar>
              <w:top w:type="dxa" w:w="80"/>
              <w:left w:type="dxa" w:w="100"/>
              <w:bottom w:type="dxa" w:w="80"/>
              <w:right w:type="dxa" w:w="100"/>
            </w:tcMar>
            <w:vAlign w:val="center"/>
          </w:tcPr>
          <w:p>
            <w:r>
              <w:rPr>
                <w:b/>
                <w:bCs/>
                <w:sz w:val="17"/>
                <w:szCs w:val="17"/>
              </w:rPr>
              <w:t xml:space="preserve">GET /api/journal/recent</w:t>
            </w:r>
          </w:p>
        </w:tc>
        <w:tc>
          <w:tcPr>
            <w:tcW w:type="dxa" w:w="2100"/>
            <w:tcMar>
              <w:top w:type="dxa" w:w="80"/>
              <w:left w:type="dxa" w:w="100"/>
              <w:bottom w:type="dxa" w:w="80"/>
              <w:right w:type="dxa" w:w="100"/>
            </w:tcMar>
            <w:vAlign w:val="center"/>
          </w:tcPr>
          <w:p>
            <w:r>
              <w:rPr>
                <w:b w:val="false"/>
                <w:bCs w:val="false"/>
                <w:sz w:val="17"/>
                <w:szCs w:val="17"/>
              </w:rPr>
              <w:t xml:space="preserve">JournalEntry.</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JournalEntry.find({ userId: req.user._id }).</w:t>
            </w:r>
          </w:p>
        </w:tc>
      </w:tr>
      <w:tr>
        <w:tc>
          <w:tcPr>
            <w:tcW w:type="dxa" w:w="2500"/>
            <w:tcMar>
              <w:top w:type="dxa" w:w="80"/>
              <w:left w:type="dxa" w:w="100"/>
              <w:bottom w:type="dxa" w:w="80"/>
              <w:right w:type="dxa" w:w="100"/>
            </w:tcMar>
            <w:vAlign w:val="center"/>
          </w:tcPr>
          <w:p>
            <w:r>
              <w:rPr>
                <w:b/>
                <w:bCs/>
                <w:sz w:val="17"/>
                <w:szCs w:val="17"/>
              </w:rPr>
              <w:t xml:space="preserve">GET /api/retrospect/analysis</w:t>
            </w:r>
          </w:p>
        </w:tc>
        <w:tc>
          <w:tcPr>
            <w:tcW w:type="dxa" w:w="2100"/>
            <w:tcMar>
              <w:top w:type="dxa" w:w="80"/>
              <w:left w:type="dxa" w:w="100"/>
              <w:bottom w:type="dxa" w:w="80"/>
              <w:right w:type="dxa" w:w="100"/>
            </w:tcMar>
            <w:vAlign w:val="center"/>
          </w:tcPr>
          <w:p>
            <w:r>
              <w:rPr>
                <w:b w:val="false"/>
                <w:bCs w:val="false"/>
                <w:sz w:val="17"/>
                <w:szCs w:val="17"/>
              </w:rPr>
              <w:t xml:space="preserve">JournalEntry, RetrospectAnalysis.</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Both queries filter on req.user._id.</w:t>
            </w:r>
          </w:p>
        </w:tc>
      </w:tr>
      <w:tr>
        <w:tc>
          <w:tcPr>
            <w:tcW w:type="dxa" w:w="2500"/>
            <w:tcMar>
              <w:top w:type="dxa" w:w="80"/>
              <w:left w:type="dxa" w:w="100"/>
              <w:bottom w:type="dxa" w:w="80"/>
              <w:right w:type="dxa" w:w="100"/>
            </w:tcMar>
            <w:vAlign w:val="center"/>
          </w:tcPr>
          <w:p>
            <w:r>
              <w:rPr>
                <w:b/>
                <w:bCs/>
                <w:sz w:val="17"/>
                <w:szCs w:val="17"/>
              </w:rPr>
              <w:t xml:space="preserve">POST /api/chat/message</w:t>
            </w:r>
          </w:p>
        </w:tc>
        <w:tc>
          <w:tcPr>
            <w:tcW w:type="dxa" w:w="2100"/>
            <w:tcMar>
              <w:top w:type="dxa" w:w="80"/>
              <w:left w:type="dxa" w:w="100"/>
              <w:bottom w:type="dxa" w:w="80"/>
              <w:right w:type="dxa" w:w="100"/>
            </w:tcMar>
            <w:vAlign w:val="center"/>
          </w:tcPr>
          <w:p>
            <w:r>
              <w:rPr>
                <w:b w:val="false"/>
                <w:bCs w:val="false"/>
                <w:sz w:val="17"/>
                <w:szCs w:val="17"/>
              </w:rPr>
              <w:t xml:space="preserve">JournalEntry, HealthData, RetrospectAnalysis, ChatSession, AuditLog.</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buildChatContext(userId) and every downstream call in service.js use the userId passed from req.user._id in the route handler, never from the request body.</w:t>
            </w:r>
          </w:p>
        </w:tc>
      </w:tr>
      <w:tr>
        <w:tc>
          <w:tcPr>
            <w:tcW w:type="dxa" w:w="2500"/>
            <w:tcMar>
              <w:top w:type="dxa" w:w="80"/>
              <w:left w:type="dxa" w:w="100"/>
              <w:bottom w:type="dxa" w:w="80"/>
              <w:right w:type="dxa" w:w="100"/>
            </w:tcMar>
            <w:vAlign w:val="center"/>
          </w:tcPr>
          <w:p>
            <w:r>
              <w:rPr>
                <w:b/>
                <w:bCs/>
                <w:sz w:val="17"/>
                <w:szCs w:val="17"/>
              </w:rPr>
              <w:t xml:space="preserve">GET /api/chat/session</w:t>
            </w:r>
          </w:p>
        </w:tc>
        <w:tc>
          <w:tcPr>
            <w:tcW w:type="dxa" w:w="2100"/>
            <w:tcMar>
              <w:top w:type="dxa" w:w="80"/>
              <w:left w:type="dxa" w:w="100"/>
              <w:bottom w:type="dxa" w:w="80"/>
              <w:right w:type="dxa" w:w="100"/>
            </w:tcMar>
            <w:vAlign w:val="center"/>
          </w:tcPr>
          <w:p>
            <w:r>
              <w:rPr>
                <w:b w:val="false"/>
                <w:bCs w:val="false"/>
                <w:sz w:val="17"/>
                <w:szCs w:val="17"/>
              </w:rPr>
              <w:t xml:space="preserve">ChatSession.</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ChatSession.findOne({ userId: req.user._id }).</w:t>
            </w:r>
          </w:p>
        </w:tc>
      </w:tr>
      <w:tr>
        <w:tc>
          <w:tcPr>
            <w:tcW w:type="dxa" w:w="2500"/>
            <w:tcMar>
              <w:top w:type="dxa" w:w="80"/>
              <w:left w:type="dxa" w:w="100"/>
              <w:bottom w:type="dxa" w:w="80"/>
              <w:right w:type="dxa" w:w="100"/>
            </w:tcMar>
            <w:vAlign w:val="center"/>
          </w:tcPr>
          <w:p>
            <w:r>
              <w:rPr>
                <w:b/>
                <w:bCs/>
                <w:sz w:val="17"/>
                <w:szCs w:val="17"/>
              </w:rPr>
              <w:t xml:space="preserve">GET /api/health-data/overview</w:t>
            </w:r>
          </w:p>
        </w:tc>
        <w:tc>
          <w:tcPr>
            <w:tcW w:type="dxa" w:w="2100"/>
            <w:tcMar>
              <w:top w:type="dxa" w:w="80"/>
              <w:left w:type="dxa" w:w="100"/>
              <w:bottom w:type="dxa" w:w="80"/>
              <w:right w:type="dxa" w:w="100"/>
            </w:tcMar>
            <w:vAlign w:val="center"/>
          </w:tcPr>
          <w:p>
            <w:r>
              <w:rPr>
                <w:b w:val="false"/>
                <w:bCs w:val="false"/>
                <w:sz w:val="17"/>
                <w:szCs w:val="17"/>
              </w:rPr>
              <w:t xml:space="preserve">HealthData.</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HealthData.find({ userId: req.user._id }).</w:t>
            </w:r>
          </w:p>
        </w:tc>
      </w:tr>
      <w:tr>
        <w:tc>
          <w:tcPr>
            <w:tcW w:type="dxa" w:w="2500"/>
            <w:tcMar>
              <w:top w:type="dxa" w:w="80"/>
              <w:left w:type="dxa" w:w="100"/>
              <w:bottom w:type="dxa" w:w="80"/>
              <w:right w:type="dxa" w:w="100"/>
            </w:tcMar>
            <w:vAlign w:val="center"/>
          </w:tcPr>
          <w:p>
            <w:r>
              <w:rPr>
                <w:b/>
                <w:bCs/>
                <w:sz w:val="17"/>
                <w:szCs w:val="17"/>
              </w:rPr>
              <w:t xml:space="preserve">GET /api/health</w:t>
            </w:r>
          </w:p>
        </w:tc>
        <w:tc>
          <w:tcPr>
            <w:tcW w:type="dxa" w:w="2100"/>
            <w:tcMar>
              <w:top w:type="dxa" w:w="80"/>
              <w:left w:type="dxa" w:w="100"/>
              <w:bottom w:type="dxa" w:w="80"/>
              <w:right w:type="dxa" w:w="100"/>
            </w:tcMar>
            <w:vAlign w:val="center"/>
          </w:tcPr>
          <w:p>
            <w:r>
              <w:rPr>
                <w:b w:val="false"/>
                <w:bCs w:val="false"/>
                <w:sz w:val="17"/>
                <w:szCs w:val="17"/>
              </w:rPr>
              <w:t xml:space="preserve">None.</w:t>
            </w:r>
          </w:p>
        </w:tc>
        <w:tc>
          <w:tcPr>
            <w:tcW w:type="dxa" w:w="1300"/>
            <w:shd w:fill="D9EAD3" w:val="clear"/>
            <w:tcMar>
              <w:top w:type="dxa" w:w="80"/>
              <w:left w:type="dxa" w:w="100"/>
              <w:bottom w:type="dxa" w:w="80"/>
              <w:right w:type="dxa" w:w="100"/>
            </w:tcMar>
            <w:vAlign w:val="center"/>
          </w:tcPr>
          <w:p>
            <w:r>
              <w:rPr>
                <w:b/>
                <w:bCs/>
                <w:sz w:val="17"/>
                <w:szCs w:val="17"/>
              </w:rPr>
              <w:t xml:space="preserve">No</w:t>
            </w:r>
          </w:p>
        </w:tc>
        <w:tc>
          <w:tcPr>
            <w:tcW w:type="dxa" w:w="3460"/>
            <w:tcMar>
              <w:top w:type="dxa" w:w="80"/>
              <w:left w:type="dxa" w:w="100"/>
              <w:bottom w:type="dxa" w:w="80"/>
              <w:right w:type="dxa" w:w="100"/>
            </w:tcMar>
            <w:vAlign w:val="center"/>
          </w:tcPr>
          <w:p>
            <w:r>
              <w:rPr>
                <w:b w:val="false"/>
                <w:bCs w:val="false"/>
                <w:sz w:val="17"/>
                <w:szCs w:val="17"/>
              </w:rPr>
              <w:t xml:space="preserve">Returns a static { ok: true } liveness response; carries no user data at all.</w:t>
            </w:r>
          </w:p>
        </w:tc>
      </w:tr>
    </w:tbl>
    <w:p>
      <w:pPr>
        <w:spacing w:after="160" w:line="276"/>
      </w:pPr>
      <w:r>
        <w:t xml:space="preserve">Structural note: none of the 11 endpoints accept a resource :id path parameter at all — every read/write is implicitly scoped to "the caller" rather than "fetch resource #123." That removes the entire class of IDOR-via-parameter-tampering rather than relying on remembering to check ownership per route. Overall verdict: Pass across the board today — but this guarantee must be re-verified the moment a future endpoint introduces an id-based lookup (e.g. "edit journal entry by id"), since that pattern doesn't exist yet and hasn't been tested.</w:t>
      </w:r>
    </w:p>
    <w:p>
      <w:r>
        <w:br w:type="page"/>
      </w:r>
    </w:p>
    <w:p>
      <w:pPr>
        <w:pStyle w:val="Heading1"/>
        <w:spacing w:after="200" w:before="400"/>
      </w:pPr>
      <w:r>
        <w:t xml:space="preserve">3.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XSS</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No dangerouslySetInnerHTML, innerHTML assignment, or document.write found anywhere in client/src. All journal/chat/AI text renders through normal JSX text nodes, which HTML-escape by default.</w:t>
            </w:r>
          </w:p>
        </w:tc>
      </w:tr>
      <w:tr>
        <w:tc>
          <w:tcPr>
            <w:tcW w:type="dxa" w:w="2000"/>
            <w:tcMar>
              <w:top w:type="dxa" w:w="80"/>
              <w:left w:type="dxa" w:w="100"/>
              <w:bottom w:type="dxa" w:w="80"/>
              <w:right w:type="dxa" w:w="100"/>
            </w:tcMar>
            <w:vAlign w:val="center"/>
          </w:tcPr>
          <w:p>
            <w:r>
              <w:rPr>
                <w:b/>
                <w:bCs/>
                <w:sz w:val="17"/>
                <w:szCs w:val="17"/>
              </w:rPr>
              <w:t xml:space="preserve">SQL / NoSQL injection</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No SQL exists (MongoDB only). Every Mongoose filter uses either a Zod-validated typed field or a server-derived ObjectId (req.user._id) — never a raw, unvalidated object from the client.</w:t>
            </w:r>
          </w:p>
        </w:tc>
      </w:tr>
      <w:tr>
        <w:tc>
          <w:tcPr>
            <w:tcW w:type="dxa" w:w="2000"/>
            <w:tcMar>
              <w:top w:type="dxa" w:w="80"/>
              <w:left w:type="dxa" w:w="100"/>
              <w:bottom w:type="dxa" w:w="80"/>
              <w:right w:type="dxa" w:w="100"/>
            </w:tcMar>
            <w:vAlign w:val="center"/>
          </w:tcPr>
          <w:p>
            <w:r>
              <w:rPr>
                <w:b/>
                <w:bCs/>
                <w:sz w:val="17"/>
                <w:szCs w:val="17"/>
              </w:rPr>
              <w:t xml:space="preserve">Mongo operators</w:t>
            </w:r>
          </w:p>
        </w:tc>
        <w:tc>
          <w:tcPr>
            <w:tcW w:type="dxa" w:w="1300"/>
            <w:shd w:fill="FFFFFF" w:val="clear"/>
            <w:tcMar>
              <w:top w:type="dxa" w:w="80"/>
              <w:left w:type="dxa" w:w="100"/>
              <w:bottom w:type="dxa" w:w="80"/>
              <w:right w:type="dxa" w:w="100"/>
            </w:tcMar>
            <w:vAlign w:val="center"/>
          </w:tcPr>
          <w:p>
            <w:r>
              <w:rPr>
                <w:b/>
                <w:bCs/>
                <w:sz w:val="17"/>
                <w:szCs w:val="17"/>
              </w:rPr>
              <w:t xml:space="preserve">Pass (with one incidental gap)</w:t>
            </w:r>
          </w:p>
        </w:tc>
        <w:tc>
          <w:tcPr>
            <w:tcW w:type="dxa" w:w="6060"/>
            <w:tcMar>
              <w:top w:type="dxa" w:w="80"/>
              <w:left w:type="dxa" w:w="100"/>
              <w:bottom w:type="dxa" w:w="80"/>
              <w:right w:type="dxa" w:w="100"/>
            </w:tcMar>
            <w:vAlign w:val="center"/>
          </w:tcPr>
          <w:p>
            <w:r>
              <w:rPr>
                <w:b w:val="false"/>
                <w:bCs w:val="false"/>
                <w:sz w:val="17"/>
                <w:szCs w:val="17"/>
              </w:rPr>
              <w:t xml:space="preserve">Zod's z.string()/z.enum() reject non-string input outright, so validated fields can't smuggle an operator object. Gap: GET /api/dashboard/summary reads req.query.range directly with no Zod schema at all; it happens to be neutralized by String(req.query.range || 'week') rather than by deliberate validation.</w:t>
            </w:r>
          </w:p>
        </w:tc>
      </w:tr>
      <w:tr>
        <w:tc>
          <w:tcPr>
            <w:tcW w:type="dxa" w:w="2000"/>
            <w:tcMar>
              <w:top w:type="dxa" w:w="80"/>
              <w:left w:type="dxa" w:w="100"/>
              <w:bottom w:type="dxa" w:w="80"/>
              <w:right w:type="dxa" w:w="100"/>
            </w:tcMar>
            <w:vAlign w:val="center"/>
          </w:tcPr>
          <w:p>
            <w:r>
              <w:rPr>
                <w:b/>
                <w:bCs/>
                <w:sz w:val="17"/>
                <w:szCs w:val="17"/>
              </w:rPr>
              <w:t xml:space="preserve">File upload validation</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file-upload endpoint, multer, or equivalent exists anywhere in the codebase (confirmed by search) — nothing to review.</w:t>
            </w:r>
          </w:p>
        </w:tc>
      </w:tr>
      <w:tr>
        <w:tc>
          <w:tcPr>
            <w:tcW w:type="dxa" w:w="2000"/>
            <w:tcMar>
              <w:top w:type="dxa" w:w="80"/>
              <w:left w:type="dxa" w:w="100"/>
              <w:bottom w:type="dxa" w:w="80"/>
              <w:right w:type="dxa" w:w="100"/>
            </w:tcMar>
            <w:vAlign w:val="center"/>
          </w:tcPr>
          <w:p>
            <w:r>
              <w:rPr>
                <w:b/>
                <w:bCs/>
                <w:sz w:val="17"/>
                <w:szCs w:val="17"/>
              </w:rPr>
              <w:t xml:space="preserve">JSON abuse</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express.json({ limit: '1mb' }) bounds request size, but a malformed JSON body throws a SyntaxError that reaches the generic errorHandler, which forwards its raw err.message (parser internals) to the client instead of a generic 400.</w:t>
            </w:r>
          </w:p>
        </w:tc>
      </w:tr>
      <w:tr>
        <w:tc>
          <w:tcPr>
            <w:tcW w:type="dxa" w:w="2000"/>
            <w:tcMar>
              <w:top w:type="dxa" w:w="80"/>
              <w:left w:type="dxa" w:w="100"/>
              <w:bottom w:type="dxa" w:w="80"/>
              <w:right w:type="dxa" w:w="100"/>
            </w:tcMar>
            <w:vAlign w:val="center"/>
          </w:tcPr>
          <w:p>
            <w:r>
              <w:rPr>
                <w:b/>
                <w:bCs/>
                <w:sz w:val="17"/>
                <w:szCs w:val="17"/>
              </w:rPr>
              <w:t xml:space="preserve">Prototype pollution</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No lodash/deepmerge or other recursive-merge utility exists in either package.json. Plain JSON.parse does not mutate Object.prototype via a '__proto__' key, and Zod strips unrecognized keys by default. No exploitable merge pattern was found.</w:t>
            </w:r>
          </w:p>
        </w:tc>
      </w:tr>
      <w:tr>
        <w:tc>
          <w:tcPr>
            <w:tcW w:type="dxa" w:w="2000"/>
            <w:tcMar>
              <w:top w:type="dxa" w:w="80"/>
              <w:left w:type="dxa" w:w="100"/>
              <w:bottom w:type="dxa" w:w="80"/>
              <w:right w:type="dxa" w:w="100"/>
            </w:tcMar>
            <w:vAlign w:val="center"/>
          </w:tcPr>
          <w:p>
            <w:r>
              <w:rPr>
                <w:b/>
                <w:bCs/>
                <w:sz w:val="17"/>
                <w:szCs w:val="17"/>
              </w:rPr>
              <w:t xml:space="preserve">Unicode tricks</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User.findOne({ email }) in both register and login (auth/routes.js, lines 19 and 40) queries the raw, client-cased email, while the schema lowercases email only on save. A user who registers as 'User@Example.com' is stored as 'user@example.com'; a later login attempt with different casing won't match — a case-sensitivity bug, not an attack, but a real one. No homoglyph/confusable-character normalization is applied either.</w:t>
            </w:r>
          </w:p>
        </w:tc>
      </w:tr>
      <w:tr>
        <w:tc>
          <w:tcPr>
            <w:tcW w:type="dxa" w:w="2000"/>
            <w:tcMar>
              <w:top w:type="dxa" w:w="80"/>
              <w:left w:type="dxa" w:w="100"/>
              <w:bottom w:type="dxa" w:w="80"/>
              <w:right w:type="dxa" w:w="100"/>
            </w:tcMar>
            <w:vAlign w:val="center"/>
          </w:tcPr>
          <w:p>
            <w:r>
              <w:rPr>
                <w:b/>
                <w:bCs/>
                <w:sz w:val="17"/>
                <w:szCs w:val="17"/>
              </w:rPr>
              <w:t xml:space="preserve">Oversized payloads</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Global 1MB body cap (index.js) plus explicit Zod max-lengths on chat message (5000 chars) and journal content (10000 chars). No smaller, route-specific cap exists — e.g. a near-1MB junk payload to /login is still fully parsed before Zod rejects its shape.</w:t>
            </w:r>
          </w:p>
        </w:tc>
      </w:tr>
    </w:tbl>
    <w:p>
      <w:r>
        <w:br w:type="page"/>
      </w:r>
    </w:p>
    <w:p>
      <w:pPr>
        <w:pStyle w:val="Heading1"/>
        <w:spacing w:after="200" w:before="400"/>
      </w:pPr>
      <w:r>
        <w:t xml:space="preserve">4. AI Security</w:t>
      </w:r>
    </w:p>
    <w:p>
      <w:pPr>
        <w:spacing w:after="160" w:line="276"/>
      </w:pPr>
      <w:r>
        <w:t xml:space="preserve">The category most specific to this application — see Phase 1 Section 10 and Phase 2 Assets 6/8 for narrative background. Restated here as discrete pass/fail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Prompt injection</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Journal/message text is concatenated directly into the prompt string in generateInsight() (service.js) with no delimiter or escaping. The only defense is post-generation (verifyInsight, scrubHealthReferences), not input-side.</w:t>
            </w:r>
          </w:p>
        </w:tc>
      </w:tr>
      <w:tr>
        <w:tc>
          <w:tcPr>
            <w:tcW w:type="dxa" w:w="2000"/>
            <w:tcMar>
              <w:top w:type="dxa" w:w="80"/>
              <w:left w:type="dxa" w:w="100"/>
              <w:bottom w:type="dxa" w:w="80"/>
              <w:right w:type="dxa" w:w="100"/>
            </w:tcMar>
            <w:vAlign w:val="center"/>
          </w:tcPr>
          <w:p>
            <w:r>
              <w:rPr>
                <w:b/>
                <w:bCs/>
                <w:sz w:val="17"/>
                <w:szCs w:val="17"/>
              </w:rPr>
              <w:t xml:space="preserve">Context poisoning</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buildEvidenceCandidates scores real journal rows by recency/keyword match with no distinction between organic reflection and content deliberately written to bias future AI responses. An account holder can seed slanted 'evidence' over time with nothing to detect it.</w:t>
            </w:r>
          </w:p>
        </w:tc>
      </w:tr>
      <w:tr>
        <w:tc>
          <w:tcPr>
            <w:tcW w:type="dxa" w:w="2000"/>
            <w:tcMar>
              <w:top w:type="dxa" w:w="80"/>
              <w:left w:type="dxa" w:w="100"/>
              <w:bottom w:type="dxa" w:w="80"/>
              <w:right w:type="dxa" w:w="100"/>
            </w:tcMar>
            <w:vAlign w:val="center"/>
          </w:tcPr>
          <w:p>
            <w:r>
              <w:rPr>
                <w:b/>
                <w:bCs/>
                <w:sz w:val="17"/>
                <w:szCs w:val="17"/>
              </w:rPr>
              <w:t xml:space="preserve">Journal injection</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The journal-specific instance of prompt injection above; same root cause, same after-the-fact-only mitigation.</w:t>
            </w:r>
          </w:p>
        </w:tc>
      </w:tr>
      <w:tr>
        <w:tc>
          <w:tcPr>
            <w:tcW w:type="dxa" w:w="2000"/>
            <w:tcMar>
              <w:top w:type="dxa" w:w="80"/>
              <w:left w:type="dxa" w:w="100"/>
              <w:bottom w:type="dxa" w:w="80"/>
              <w:right w:type="dxa" w:w="100"/>
            </w:tcMar>
            <w:vAlign w:val="center"/>
          </w:tcPr>
          <w:p>
            <w:r>
              <w:rPr>
                <w:b/>
                <w:bCs/>
                <w:sz w:val="17"/>
                <w:szCs w:val="17"/>
              </w:rPr>
              <w:t xml:space="preserve">Evidence manipulation</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normalizeEvidence() drops any evidence item whose journalId doesn't match a real candidate for that user, so fabricated IDs are structurally rejected. A model can still select a real quote and frame it misleadingly — nothing currently checks for that.</w:t>
            </w:r>
          </w:p>
        </w:tc>
      </w:tr>
      <w:tr>
        <w:tc>
          <w:tcPr>
            <w:tcW w:type="dxa" w:w="2000"/>
            <w:tcMar>
              <w:top w:type="dxa" w:w="80"/>
              <w:left w:type="dxa" w:w="100"/>
              <w:bottom w:type="dxa" w:w="80"/>
              <w:right w:type="dxa" w:w="100"/>
            </w:tcMar>
            <w:vAlign w:val="center"/>
          </w:tcPr>
          <w:p>
            <w:r>
              <w:rPr>
                <w:b/>
                <w:bCs/>
                <w:sz w:val="17"/>
                <w:szCs w:val="17"/>
              </w:rPr>
              <w:t xml:space="preserve">Confidence spoofing</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verifyInsight()'s confidence &gt;= 0.65 gate compares directly against a number the model self-reports in its own JSON output; nothing independently recomputes or bounds it.</w:t>
            </w:r>
          </w:p>
        </w:tc>
      </w:tr>
      <w:tr>
        <w:tc>
          <w:tcPr>
            <w:tcW w:type="dxa" w:w="2000"/>
            <w:tcMar>
              <w:top w:type="dxa" w:w="80"/>
              <w:left w:type="dxa" w:w="100"/>
              <w:bottom w:type="dxa" w:w="80"/>
              <w:right w:type="dxa" w:w="100"/>
            </w:tcMar>
            <w:vAlign w:val="center"/>
          </w:tcPr>
          <w:p>
            <w:r>
              <w:rPr>
                <w:b/>
                <w:bCs/>
                <w:sz w:val="17"/>
                <w:szCs w:val="17"/>
              </w:rPr>
              <w:t xml:space="preserve">Hallucinated evidence</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Non-existent journalIds are filtered out by normalizeEvidence() before verifyInsight runs. If that empties the evidence array, the evidencePresent check fails and the turn is downgraded to the neutral fallback rather than shown to the user.</w:t>
            </w:r>
          </w:p>
        </w:tc>
      </w:tr>
      <w:tr>
        <w:tc>
          <w:tcPr>
            <w:tcW w:type="dxa" w:w="2000"/>
            <w:tcMar>
              <w:top w:type="dxa" w:w="80"/>
              <w:left w:type="dxa" w:w="100"/>
              <w:bottom w:type="dxa" w:w="80"/>
              <w:right w:type="dxa" w:w="100"/>
            </w:tcMar>
            <w:vAlign w:val="center"/>
          </w:tcPr>
          <w:p>
            <w:r>
              <w:rPr>
                <w:b/>
                <w:bCs/>
                <w:sz w:val="17"/>
                <w:szCs w:val="17"/>
              </w:rPr>
              <w:t xml:space="preserve">Health claim bypass</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scrubHealthReferences() matches a fixed keyword list (sleep, stress, heart rate, steps, activity, recovery). A paraphrase such as 'your rest patterns' is not caught.</w:t>
            </w:r>
          </w:p>
        </w:tc>
      </w:tr>
      <w:tr>
        <w:tc>
          <w:tcPr>
            <w:tcW w:type="dxa" w:w="2000"/>
            <w:tcMar>
              <w:top w:type="dxa" w:w="80"/>
              <w:left w:type="dxa" w:w="100"/>
              <w:bottom w:type="dxa" w:w="80"/>
              <w:right w:type="dxa" w:w="100"/>
            </w:tcMar>
            <w:vAlign w:val="center"/>
          </w:tcPr>
          <w:p>
            <w:r>
              <w:rPr>
                <w:b/>
                <w:bCs/>
                <w:sz w:val="17"/>
                <w:szCs w:val="17"/>
              </w:rPr>
              <w:t xml:space="preserve">Jailbreak prompts</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The prompt's 'Rules' section (never diagnose, never prescribe) is a soft instruction only. The one hard backstop (verifyInsight) checks evidence/confidence/health-eligibility — not whether the model ignored its restrictions in ways that avoid health keywords entirely.</w:t>
            </w:r>
          </w:p>
        </w:tc>
      </w:tr>
      <w:tr>
        <w:tc>
          <w:tcPr>
            <w:tcW w:type="dxa" w:w="2000"/>
            <w:tcMar>
              <w:top w:type="dxa" w:w="80"/>
              <w:left w:type="dxa" w:w="100"/>
              <w:bottom w:type="dxa" w:w="80"/>
              <w:right w:type="dxa" w:w="100"/>
            </w:tcMar>
            <w:vAlign w:val="center"/>
          </w:tcPr>
          <w:p>
            <w:r>
              <w:rPr>
                <w:b/>
                <w:bCs/>
                <w:sz w:val="17"/>
                <w:szCs w:val="17"/>
              </w:rPr>
              <w:t xml:space="preserve">Context window abuse</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ChatSession.turns grows unbounded via $push with no cap or archival. Only the last 5 turns feed blueprint scoring and only the last 1 feeds lastAssistantQuestion, so per-request prompt size stays bounded — but the stored document itself can grow indefinitely over a long-lived, heavily-used account toward MongoDB's per-document size ceiling.</w:t>
            </w:r>
          </w:p>
        </w:tc>
      </w:tr>
    </w:tbl>
    <w:p>
      <w:r>
        <w:br w:type="page"/>
      </w:r>
    </w:p>
    <w:p>
      <w:pPr>
        <w:pStyle w:val="Heading1"/>
        <w:spacing w:after="200" w:before="400"/>
      </w:pPr>
      <w:r>
        <w:t xml:space="preserve">5.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Journal encryption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JournalEntry.content is stored as plaintext (models/JournalEntry.js); no field-level encryption.</w:t>
            </w:r>
          </w:p>
        </w:tc>
      </w:tr>
      <w:tr>
        <w:tc>
          <w:tcPr>
            <w:tcW w:type="dxa" w:w="2000"/>
            <w:tcMar>
              <w:top w:type="dxa" w:w="80"/>
              <w:left w:type="dxa" w:w="100"/>
              <w:bottom w:type="dxa" w:w="80"/>
              <w:right w:type="dxa" w:w="100"/>
            </w:tcMar>
            <w:vAlign w:val="center"/>
          </w:tcPr>
          <w:p>
            <w:r>
              <w:rPr>
                <w:b/>
                <w:bCs/>
                <w:sz w:val="17"/>
                <w:szCs w:val="17"/>
              </w:rPr>
              <w:t xml:space="preserve">Health encryption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HealthData fields are stored as plaintext (models/HealthData.js); same gap.</w:t>
            </w:r>
          </w:p>
        </w:tc>
      </w:tr>
      <w:tr>
        <w:tc>
          <w:tcPr>
            <w:tcW w:type="dxa" w:w="2000"/>
            <w:tcMar>
              <w:top w:type="dxa" w:w="80"/>
              <w:left w:type="dxa" w:w="100"/>
              <w:bottom w:type="dxa" w:w="80"/>
              <w:right w:type="dxa" w:w="100"/>
            </w:tcMar>
            <w:vAlign w:val="center"/>
          </w:tcPr>
          <w:p>
            <w:r>
              <w:rPr>
                <w:b/>
                <w:bCs/>
                <w:sz w:val="17"/>
                <w:szCs w:val="17"/>
              </w:rPr>
              <w:t xml:space="preserve">Logs</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logger.js never logs req.body, passwords, or Authorization headers. errorHandler.js does forward err.details, which for VALIDATION_ERROR is Zod's flattened error object — field-level constraint messages, not the raw submitted values.</w:t>
            </w:r>
          </w:p>
        </w:tc>
      </w:tr>
      <w:tr>
        <w:tc>
          <w:tcPr>
            <w:tcW w:type="dxa" w:w="2000"/>
            <w:tcMar>
              <w:top w:type="dxa" w:w="80"/>
              <w:left w:type="dxa" w:w="100"/>
              <w:bottom w:type="dxa" w:w="80"/>
              <w:right w:type="dxa" w:w="100"/>
            </w:tcMar>
            <w:vAlign w:val="center"/>
          </w:tcPr>
          <w:p>
            <w:r>
              <w:rPr>
                <w:b/>
                <w:bCs/>
                <w:sz w:val="17"/>
                <w:szCs w:val="17"/>
              </w:rPr>
              <w:t xml:space="preserve">AI provider privacy</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Whenever Ollama is disabled or unreachable, the full prompt — including journal quotes and health context — is sent to OpenAI or Gemini with no user-facing disclosure or opt-out control anywhere in Settings.</w:t>
            </w:r>
          </w:p>
        </w:tc>
      </w:tr>
      <w:tr>
        <w:tc>
          <w:tcPr>
            <w:tcW w:type="dxa" w:w="2000"/>
            <w:tcMar>
              <w:top w:type="dxa" w:w="80"/>
              <w:left w:type="dxa" w:w="100"/>
              <w:bottom w:type="dxa" w:w="80"/>
              <w:right w:type="dxa" w:w="100"/>
            </w:tcMar>
            <w:vAlign w:val="center"/>
          </w:tcPr>
          <w:p>
            <w:r>
              <w:rPr>
                <w:b/>
                <w:bCs/>
                <w:sz w:val="17"/>
                <w:szCs w:val="17"/>
              </w:rPr>
              <w:t xml:space="preserve">Ollama isolation</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OLLAMA_BASE_URL defaults to 127.0.0.1 (loopback-only) — a good default. Nothing in the app enforces that a production deployment keeps it that way.</w:t>
            </w:r>
          </w:p>
        </w:tc>
      </w:tr>
      <w:tr>
        <w:tc>
          <w:tcPr>
            <w:tcW w:type="dxa" w:w="2000"/>
            <w:tcMar>
              <w:top w:type="dxa" w:w="80"/>
              <w:left w:type="dxa" w:w="100"/>
              <w:bottom w:type="dxa" w:w="80"/>
              <w:right w:type="dxa" w:w="100"/>
            </w:tcMar>
            <w:vAlign w:val="center"/>
          </w:tcPr>
          <w:p>
            <w:r>
              <w:rPr>
                <w:b/>
                <w:bCs/>
                <w:sz w:val="17"/>
                <w:szCs w:val="17"/>
              </w:rPr>
              <w:t xml:space="preserve">Audit log sensitivity</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AuditLog is never exposed via any API route (good containment), but it independently retains detectedPatterns, retrievedMemoryIds, and generatedQuestion indefinitely — a second sensitive record with no retention limit.</w:t>
            </w:r>
          </w:p>
        </w:tc>
      </w:tr>
      <w:tr>
        <w:tc>
          <w:tcPr>
            <w:tcW w:type="dxa" w:w="2000"/>
            <w:tcMar>
              <w:top w:type="dxa" w:w="80"/>
              <w:left w:type="dxa" w:w="100"/>
              <w:bottom w:type="dxa" w:w="80"/>
              <w:right w:type="dxa" w:w="100"/>
            </w:tcMar>
            <w:vAlign w:val="center"/>
          </w:tcPr>
          <w:p>
            <w:r>
              <w:rPr>
                <w:b/>
                <w:bCs/>
                <w:sz w:val="17"/>
                <w:szCs w:val="17"/>
              </w:rPr>
              <w:t xml:space="preserve">Data retention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 TTL index or scheduled purge exists on JournalEntry, HealthData, ChatSession, or AuditLog. No user-facing export or delete endpoint exists anywhere in the API.</w:t>
            </w:r>
          </w:p>
        </w:tc>
      </w:tr>
    </w:tbl>
    <w:p>
      <w:r>
        <w:br w:type="page"/>
      </w:r>
    </w:p>
    <w:p>
      <w:pPr>
        <w:pStyle w:val="Heading1"/>
        <w:spacing w:after="200" w:before="400"/>
      </w:pPr>
      <w:r>
        <w:t xml:space="preserve">6.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HTTPS</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 enforcement, redirect, or HSTS exists in server/src/index.js. Entirely dependent on whatever sits in front of the app in production, which this code-only review cannot verify.</w:t>
            </w:r>
          </w:p>
        </w:tc>
      </w:tr>
      <w:tr>
        <w:tc>
          <w:tcPr>
            <w:tcW w:type="dxa" w:w="2000"/>
            <w:tcMar>
              <w:top w:type="dxa" w:w="80"/>
              <w:left w:type="dxa" w:w="100"/>
              <w:bottom w:type="dxa" w:w="80"/>
              <w:right w:type="dxa" w:w="100"/>
            </w:tcMar>
            <w:vAlign w:val="center"/>
          </w:tcPr>
          <w:p>
            <w:r>
              <w:rPr>
                <w:b/>
                <w:bCs/>
                <w:sz w:val="17"/>
                <w:szCs w:val="17"/>
              </w:rPr>
              <w:t xml:space="preserve">CORS</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Origin is restricted to the single configured CLIENT_URL (not a wildcard) — good. credentials: true is set despite the app never issuing cookies; inert today, but a confusing signal for future changes.</w:t>
            </w:r>
          </w:p>
        </w:tc>
      </w:tr>
      <w:tr>
        <w:tc>
          <w:tcPr>
            <w:tcW w:type="dxa" w:w="2000"/>
            <w:tcMar>
              <w:top w:type="dxa" w:w="80"/>
              <w:left w:type="dxa" w:w="100"/>
              <w:bottom w:type="dxa" w:w="80"/>
              <w:right w:type="dxa" w:w="100"/>
            </w:tcMar>
            <w:vAlign w:val="center"/>
          </w:tcPr>
          <w:p>
            <w:r>
              <w:rPr>
                <w:b/>
                <w:bCs/>
                <w:sz w:val="17"/>
                <w:szCs w:val="17"/>
              </w:rPr>
              <w:t xml:space="preserve">CSP</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 Content-Security-Policy is set anywhere — not in index.html, not as a server response header.</w:t>
            </w:r>
          </w:p>
        </w:tc>
      </w:tr>
      <w:tr>
        <w:tc>
          <w:tcPr>
            <w:tcW w:type="dxa" w:w="2000"/>
            <w:tcMar>
              <w:top w:type="dxa" w:w="80"/>
              <w:left w:type="dxa" w:w="100"/>
              <w:bottom w:type="dxa" w:w="80"/>
              <w:right w:type="dxa" w:w="100"/>
            </w:tcMar>
            <w:vAlign w:val="center"/>
          </w:tcPr>
          <w:p>
            <w:r>
              <w:rPr>
                <w:b/>
                <w:bCs/>
                <w:sz w:val="17"/>
                <w:szCs w:val="17"/>
              </w:rPr>
              <w:t xml:space="preserve">Helmet</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Not installed or used; no security-header middleware of any kind exists in server/src/index.js.</w:t>
            </w:r>
          </w:p>
        </w:tc>
      </w:tr>
      <w:tr>
        <w:tc>
          <w:tcPr>
            <w:tcW w:type="dxa" w:w="2000"/>
            <w:tcMar>
              <w:top w:type="dxa" w:w="80"/>
              <w:left w:type="dxa" w:w="100"/>
              <w:bottom w:type="dxa" w:w="80"/>
              <w:right w:type="dxa" w:w="100"/>
            </w:tcMar>
            <w:vAlign w:val="center"/>
          </w:tcPr>
          <w:p>
            <w:r>
              <w:rPr>
                <w:b/>
                <w:bCs/>
                <w:sz w:val="17"/>
                <w:szCs w:val="17"/>
              </w:rPr>
              <w:t xml:space="preserve">Rate limiting</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Only POST /api/chat/message carries a limiter (30 requests / 15 min per user). Every other route, including login and register, is unthrottled.</w:t>
            </w:r>
          </w:p>
        </w:tc>
      </w:tr>
      <w:tr>
        <w:tc>
          <w:tcPr>
            <w:tcW w:type="dxa" w:w="2000"/>
            <w:tcMar>
              <w:top w:type="dxa" w:w="80"/>
              <w:left w:type="dxa" w:w="100"/>
              <w:bottom w:type="dxa" w:w="80"/>
              <w:right w:type="dxa" w:w="100"/>
            </w:tcMar>
            <w:vAlign w:val="center"/>
          </w:tcPr>
          <w:p>
            <w:r>
              <w:rPr>
                <w:b/>
                <w:bCs/>
                <w:sz w:val="17"/>
                <w:szCs w:val="17"/>
              </w:rPr>
              <w:t xml:space="preserve">Compression attacks</w:t>
            </w:r>
          </w:p>
        </w:tc>
        <w:tc>
          <w:tcPr>
            <w:tcW w:type="dxa" w:w="1300"/>
            <w:shd w:fill="FFFFFF" w:val="clear"/>
            <w:tcMar>
              <w:top w:type="dxa" w:w="80"/>
              <w:left w:type="dxa" w:w="100"/>
              <w:bottom w:type="dxa" w:w="80"/>
              <w:right w:type="dxa" w:w="100"/>
            </w:tcMar>
            <w:vAlign w:val="center"/>
          </w:tcPr>
          <w:p>
            <w:r>
              <w:rPr>
                <w:b/>
                <w:bCs/>
                <w:sz w:val="17"/>
                <w:szCs w:val="17"/>
              </w:rPr>
              <w:t xml:space="preserve">Pass / N/A</w:t>
            </w:r>
          </w:p>
        </w:tc>
        <w:tc>
          <w:tcPr>
            <w:tcW w:type="dxa" w:w="6060"/>
            <w:tcMar>
              <w:top w:type="dxa" w:w="80"/>
              <w:left w:type="dxa" w:w="100"/>
              <w:bottom w:type="dxa" w:w="80"/>
              <w:right w:type="dxa" w:w="100"/>
            </w:tcMar>
            <w:vAlign w:val="center"/>
          </w:tcPr>
          <w:p>
            <w:r>
              <w:rPr>
                <w:b w:val="false"/>
                <w:bCs w:val="false"/>
                <w:sz w:val="17"/>
                <w:szCs w:val="17"/>
              </w:rPr>
              <w:t xml:space="preserve">No compression middleware (e.g. the 'compression' package) is used in server/src/index.js, so response-compression side-channel attacks (BREACH-style) don't apply to this app's own output. A reverse proxy could still introduce this outside the codebase.</w:t>
            </w:r>
          </w:p>
        </w:tc>
      </w:tr>
      <w:tr>
        <w:tc>
          <w:tcPr>
            <w:tcW w:type="dxa" w:w="2000"/>
            <w:tcMar>
              <w:top w:type="dxa" w:w="80"/>
              <w:left w:type="dxa" w:w="100"/>
              <w:bottom w:type="dxa" w:w="80"/>
              <w:right w:type="dxa" w:w="100"/>
            </w:tcMar>
            <w:vAlign w:val="center"/>
          </w:tcPr>
          <w:p>
            <w:r>
              <w:rPr>
                <w:b/>
                <w:bCs/>
                <w:sz w:val="17"/>
                <w:szCs w:val="17"/>
              </w:rPr>
              <w:t xml:space="preserve">Reverse proxy</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proxy configuration (nginx, Caddy, etc.) exists in this repository — a deployment concern outside static review.</w:t>
            </w:r>
          </w:p>
        </w:tc>
      </w:tr>
      <w:tr>
        <w:tc>
          <w:tcPr>
            <w:tcW w:type="dxa" w:w="2000"/>
            <w:tcMar>
              <w:top w:type="dxa" w:w="80"/>
              <w:left w:type="dxa" w:w="100"/>
              <w:bottom w:type="dxa" w:w="80"/>
              <w:right w:type="dxa" w:w="100"/>
            </w:tcMar>
            <w:vAlign w:val="center"/>
          </w:tcPr>
          <w:p>
            <w:r>
              <w:rPr>
                <w:b/>
                <w:bCs/>
                <w:sz w:val="17"/>
                <w:szCs w:val="17"/>
              </w:rPr>
              <w:t xml:space="preserve">Docker</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Dockerfile or docker-compose.yml exists anywhere in the repository. Nothing to review, and nothing hardened yet if containerization is planned.</w:t>
            </w:r>
          </w:p>
        </w:tc>
      </w:tr>
      <w:tr>
        <w:tc>
          <w:tcPr>
            <w:tcW w:type="dxa" w:w="2000"/>
            <w:tcMar>
              <w:top w:type="dxa" w:w="80"/>
              <w:left w:type="dxa" w:w="100"/>
              <w:bottom w:type="dxa" w:w="80"/>
              <w:right w:type="dxa" w:w="100"/>
            </w:tcMar>
            <w:vAlign w:val="center"/>
          </w:tcPr>
          <w:p>
            <w:r>
              <w:rPr>
                <w:b/>
                <w:bCs/>
                <w:sz w:val="17"/>
                <w:szCs w:val="17"/>
              </w:rPr>
              <w:t xml:space="preserve">Secrets</w:t>
            </w:r>
          </w:p>
        </w:tc>
        <w:tc>
          <w:tcPr>
            <w:tcW w:type="dxa" w:w="1300"/>
            <w:shd w:fill="FFFFFF" w:val="clear"/>
            <w:tcMar>
              <w:top w:type="dxa" w:w="80"/>
              <w:left w:type="dxa" w:w="100"/>
              <w:bottom w:type="dxa" w:w="80"/>
              <w:right w:type="dxa" w:w="100"/>
            </w:tcMar>
            <w:vAlign w:val="center"/>
          </w:tcPr>
          <w:p>
            <w:r>
              <w:rPr>
                <w:b/>
                <w:bCs/>
                <w:sz w:val="17"/>
                <w:szCs w:val="17"/>
              </w:rPr>
              <w:t xml:space="preserve">Split</w:t>
            </w:r>
          </w:p>
        </w:tc>
        <w:tc>
          <w:tcPr>
            <w:tcW w:type="dxa" w:w="6060"/>
            <w:tcMar>
              <w:top w:type="dxa" w:w="80"/>
              <w:left w:type="dxa" w:w="100"/>
              <w:bottom w:type="dxa" w:w="80"/>
              <w:right w:type="dxa" w:w="100"/>
            </w:tcMar>
            <w:vAlign w:val="center"/>
          </w:tcPr>
          <w:p>
            <w:r>
              <w:rPr>
                <w:b w:val="false"/>
                <w:bCs w:val="false"/>
                <w:sz w:val="17"/>
                <w:szCs w:val="17"/>
              </w:rPr>
              <w:t xml:space="preserve">Repository hygiene: Pass — .env, node_modules/, and dist/ are correctly gitignored and confirmed absent from git history. Live configuration: Fail — the local server/.env still holds JWT_SECRET equal to the public placeholder value from .env.example.</w:t>
            </w:r>
          </w:p>
        </w:tc>
      </w:tr>
      <w:tr>
        <w:tc>
          <w:tcPr>
            <w:tcW w:type="dxa" w:w="2000"/>
            <w:tcMar>
              <w:top w:type="dxa" w:w="80"/>
              <w:left w:type="dxa" w:w="100"/>
              <w:bottom w:type="dxa" w:w="80"/>
              <w:right w:type="dxa" w:w="100"/>
            </w:tcMar>
            <w:vAlign w:val="center"/>
          </w:tcPr>
          <w:p>
            <w:r>
              <w:rPr>
                <w:b/>
                <w:bCs/>
                <w:sz w:val="17"/>
                <w:szCs w:val="17"/>
              </w:rPr>
              <w:t xml:space="preserve">Mongo exposure</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The example connection string is an unauthenticated local instance, appropriate for dev. Production network exposure can't be assessed from source code alone.</w:t>
            </w:r>
          </w:p>
        </w:tc>
      </w:tr>
      <w:tr>
        <w:tc>
          <w:tcPr>
            <w:tcW w:type="dxa" w:w="2000"/>
            <w:tcMar>
              <w:top w:type="dxa" w:w="80"/>
              <w:left w:type="dxa" w:w="100"/>
              <w:bottom w:type="dxa" w:w="80"/>
              <w:right w:type="dxa" w:w="100"/>
            </w:tcMar>
            <w:vAlign w:val="center"/>
          </w:tcPr>
          <w:p>
            <w:r>
              <w:rPr>
                <w:b/>
                <w:bCs/>
                <w:sz w:val="17"/>
                <w:szCs w:val="17"/>
              </w:rPr>
              <w:t xml:space="preserve">Firewall</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infrastructure or network configuration exists in this repository.</w:t>
            </w:r>
          </w:p>
        </w:tc>
      </w:tr>
    </w:tbl>
    <w:p>
      <w:r>
        <w:br w:type="page"/>
      </w:r>
    </w:p>
    <w:p>
      <w:pPr>
        <w:pStyle w:val="Heading1"/>
        <w:spacing w:after="200" w:before="400"/>
      </w:pPr>
      <w:r>
        <w:t xml:space="preserve">7.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Indexes</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Compound indexes match real query patterns: { userId, createdAt } on JournalEntry/AuditLog, { userId, date } on HealthData, { userId, updatedAt } on ChatSession, and unique indexes on User.email and ChatSession.userId.</w:t>
            </w:r>
          </w:p>
        </w:tc>
      </w:tr>
      <w:tr>
        <w:tc>
          <w:tcPr>
            <w:tcW w:type="dxa" w:w="2000"/>
            <w:tcMar>
              <w:top w:type="dxa" w:w="80"/>
              <w:left w:type="dxa" w:w="100"/>
              <w:bottom w:type="dxa" w:w="80"/>
              <w:right w:type="dxa" w:w="100"/>
            </w:tcMar>
            <w:vAlign w:val="center"/>
          </w:tcPr>
          <w:p>
            <w:r>
              <w:rPr>
                <w:b/>
                <w:bCs/>
                <w:sz w:val="17"/>
                <w:szCs w:val="17"/>
              </w:rPr>
              <w:t xml:space="preserve">Injection</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See Input Validation, items 2-3 — no exploitable NoSQL/operator-injection pattern was found.</w:t>
            </w:r>
          </w:p>
        </w:tc>
      </w:tr>
      <w:tr>
        <w:tc>
          <w:tcPr>
            <w:tcW w:type="dxa" w:w="2000"/>
            <w:tcMar>
              <w:top w:type="dxa" w:w="80"/>
              <w:left w:type="dxa" w:w="100"/>
              <w:bottom w:type="dxa" w:w="80"/>
              <w:right w:type="dxa" w:w="100"/>
            </w:tcMar>
            <w:vAlign w:val="center"/>
          </w:tcPr>
          <w:p>
            <w:r>
              <w:rPr>
                <w:b/>
                <w:bCs/>
                <w:sz w:val="17"/>
                <w:szCs w:val="17"/>
              </w:rPr>
              <w:t xml:space="preserve">Data ownership</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Every collection query in every route filters by a server-derived userId — confirmed across all 11 endpoints in Section 2.</w:t>
            </w:r>
          </w:p>
        </w:tc>
      </w:tr>
      <w:tr>
        <w:tc>
          <w:tcPr>
            <w:tcW w:type="dxa" w:w="2000"/>
            <w:tcMar>
              <w:top w:type="dxa" w:w="80"/>
              <w:left w:type="dxa" w:w="100"/>
              <w:bottom w:type="dxa" w:w="80"/>
              <w:right w:type="dxa" w:w="100"/>
            </w:tcMar>
            <w:vAlign w:val="center"/>
          </w:tcPr>
          <w:p>
            <w:r>
              <w:rPr>
                <w:b/>
                <w:bCs/>
                <w:sz w:val="17"/>
                <w:szCs w:val="17"/>
              </w:rPr>
              <w:t xml:space="preserve">Encryption</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 field-level or documented at-rest encryption exists for any collection (repeats the journal/health encryption gaps at the database level).</w:t>
            </w:r>
          </w:p>
        </w:tc>
      </w:tr>
      <w:tr>
        <w:tc>
          <w:tcPr>
            <w:tcW w:type="dxa" w:w="2000"/>
            <w:tcMar>
              <w:top w:type="dxa" w:w="80"/>
              <w:left w:type="dxa" w:w="100"/>
              <w:bottom w:type="dxa" w:w="80"/>
              <w:right w:type="dxa" w:w="100"/>
            </w:tcMar>
            <w:vAlign w:val="center"/>
          </w:tcPr>
          <w:p>
            <w:r>
              <w:rPr>
                <w:b/>
                <w:bCs/>
                <w:sz w:val="17"/>
                <w:szCs w:val="17"/>
              </w:rPr>
              <w:t xml:space="preserve">Backup</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backup scripts, cron definitions, or documentation exist in this repository.</w:t>
            </w:r>
          </w:p>
        </w:tc>
      </w:tr>
      <w:tr>
        <w:tc>
          <w:tcPr>
            <w:tcW w:type="dxa" w:w="2000"/>
            <w:tcMar>
              <w:top w:type="dxa" w:w="80"/>
              <w:left w:type="dxa" w:w="100"/>
              <w:bottom w:type="dxa" w:w="80"/>
              <w:right w:type="dxa" w:w="100"/>
            </w:tcMar>
            <w:vAlign w:val="center"/>
          </w:tcPr>
          <w:p>
            <w:r>
              <w:rPr>
                <w:b/>
                <w:bCs/>
                <w:sz w:val="17"/>
                <w:szCs w:val="17"/>
              </w:rPr>
              <w:t xml:space="preserve">Restore</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restore tooling or runbook exists in this repository.</w:t>
            </w:r>
          </w:p>
        </w:tc>
      </w:tr>
      <w:tr>
        <w:tc>
          <w:tcPr>
            <w:tcW w:type="dxa" w:w="2000"/>
            <w:tcMar>
              <w:top w:type="dxa" w:w="80"/>
              <w:left w:type="dxa" w:w="100"/>
              <w:bottom w:type="dxa" w:w="80"/>
              <w:right w:type="dxa" w:w="100"/>
            </w:tcMar>
            <w:vAlign w:val="center"/>
          </w:tcPr>
          <w:p>
            <w:r>
              <w:rPr>
                <w:b/>
                <w:bCs/>
                <w:sz w:val="17"/>
                <w:szCs w:val="17"/>
              </w:rPr>
              <w:t xml:space="preserve">Audit integrity</w:t>
            </w:r>
          </w:p>
        </w:tc>
        <w:tc>
          <w:tcPr>
            <w:tcW w:type="dxa" w:w="1300"/>
            <w:shd w:fill="FCF3B0" w:val="clear"/>
            <w:tcMar>
              <w:top w:type="dxa" w:w="80"/>
              <w:left w:type="dxa" w:w="100"/>
              <w:bottom w:type="dxa" w:w="80"/>
              <w:right w:type="dxa" w:w="100"/>
            </w:tcMar>
            <w:vAlign w:val="center"/>
          </w:tcPr>
          <w:p>
            <w:r>
              <w:rPr>
                <w:b/>
                <w:bCs/>
                <w:sz w:val="17"/>
                <w:szCs w:val="17"/>
              </w:rPr>
              <w:t xml:space="preserve">Partial</w:t>
            </w:r>
          </w:p>
        </w:tc>
        <w:tc>
          <w:tcPr>
            <w:tcW w:type="dxa" w:w="6060"/>
            <w:tcMar>
              <w:top w:type="dxa" w:w="80"/>
              <w:left w:type="dxa" w:w="100"/>
              <w:bottom w:type="dxa" w:w="80"/>
              <w:right w:type="dxa" w:w="100"/>
            </w:tcMar>
            <w:vAlign w:val="center"/>
          </w:tcPr>
          <w:p>
            <w:r>
              <w:rPr>
                <w:b w:val="false"/>
                <w:bCs w:val="false"/>
                <w:sz w:val="17"/>
                <w:szCs w:val="17"/>
              </w:rPr>
              <w:t xml:space="preserve">AuditLog is written on every chat turn and never exposed externally, but nothing makes it tamper-evident (no hash chaining, capped/write-once collection, or external log shipping) against someone who already has direct database write access.</w:t>
            </w:r>
          </w:p>
        </w:tc>
      </w:tr>
    </w:tbl>
    <w:p>
      <w:r>
        <w:br w:type="page"/>
      </w:r>
    </w:p>
    <w:p>
      <w:pPr>
        <w:pStyle w:val="Heading1"/>
        <w:spacing w:after="200" w:before="400"/>
      </w:pPr>
      <w:r>
        <w:t xml:space="preserve">8.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shd w:fill="D9D9D9" w:val="clear"/>
            <w:tcMar>
              <w:top w:type="dxa" w:w="80"/>
              <w:left w:type="dxa" w:w="100"/>
              <w:bottom w:type="dxa" w:w="80"/>
              <w:right w:type="dxa" w:w="100"/>
            </w:tcMar>
            <w:vAlign w:val="center"/>
          </w:tcPr>
          <w:p>
            <w:r>
              <w:rPr>
                <w:b/>
                <w:bCs/>
                <w:sz w:val="17"/>
                <w:szCs w:val="17"/>
              </w:rPr>
              <w:t xml:space="preserve">Item</w:t>
            </w:r>
          </w:p>
        </w:tc>
        <w:tc>
          <w:tcPr>
            <w:tcW w:type="dxa" w:w="1300"/>
            <w:shd w:fill="D9D9D9" w:val="clear"/>
            <w:tcMar>
              <w:top w:type="dxa" w:w="80"/>
              <w:left w:type="dxa" w:w="100"/>
              <w:bottom w:type="dxa" w:w="80"/>
              <w:right w:type="dxa" w:w="100"/>
            </w:tcMar>
            <w:vAlign w:val="center"/>
          </w:tcPr>
          <w:p>
            <w:r>
              <w:rPr>
                <w:b/>
                <w:bCs/>
                <w:sz w:val="17"/>
                <w:szCs w:val="17"/>
              </w:rPr>
              <w:t xml:space="preserve">Status</w:t>
            </w:r>
          </w:p>
        </w:tc>
        <w:tc>
          <w:tcPr>
            <w:tcW w:type="dxa" w:w="6060"/>
            <w:shd w:fill="D9D9D9" w:val="clear"/>
            <w:tcMar>
              <w:top w:type="dxa" w:w="80"/>
              <w:left w:type="dxa" w:w="100"/>
              <w:bottom w:type="dxa" w:w="80"/>
              <w:right w:type="dxa" w:w="100"/>
            </w:tcMar>
            <w:vAlign w:val="center"/>
          </w:tcPr>
          <w:p>
            <w:r>
              <w:rPr>
                <w:b/>
                <w:bCs/>
                <w:sz w:val="17"/>
                <w:szCs w:val="17"/>
              </w:rPr>
              <w:t xml:space="preserve">Evidence &amp; Reasoning</w:t>
            </w:r>
          </w:p>
        </w:tc>
      </w:tr>
      <w:tr>
        <w:tc>
          <w:tcPr>
            <w:tcW w:type="dxa" w:w="2000"/>
            <w:tcMar>
              <w:top w:type="dxa" w:w="80"/>
              <w:left w:type="dxa" w:w="100"/>
              <w:bottom w:type="dxa" w:w="80"/>
              <w:right w:type="dxa" w:w="100"/>
            </w:tcMar>
            <w:vAlign w:val="center"/>
          </w:tcPr>
          <w:p>
            <w:r>
              <w:rPr>
                <w:b/>
                <w:bCs/>
                <w:sz w:val="17"/>
                <w:szCs w:val="17"/>
              </w:rPr>
              <w:t xml:space="preserve">XSS</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Confirmed no dangerouslySetInnerHTML, innerHTML assignment, or document.write anywhere in client/src.</w:t>
            </w:r>
          </w:p>
        </w:tc>
      </w:tr>
      <w:tr>
        <w:tc>
          <w:tcPr>
            <w:tcW w:type="dxa" w:w="2000"/>
            <w:tcMar>
              <w:top w:type="dxa" w:w="80"/>
              <w:left w:type="dxa" w:w="100"/>
              <w:bottom w:type="dxa" w:w="80"/>
              <w:right w:type="dxa" w:w="100"/>
            </w:tcMar>
            <w:vAlign w:val="center"/>
          </w:tcPr>
          <w:p>
            <w:r>
              <w:rPr>
                <w:b/>
                <w:bCs/>
                <w:sz w:val="17"/>
                <w:szCs w:val="17"/>
              </w:rPr>
              <w:t xml:space="preserve">Token storage</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The JWT lives in localStorage (api.js, AuthContext.jsx) rather than an httpOnly cookie.</w:t>
            </w:r>
          </w:p>
        </w:tc>
      </w:tr>
      <w:tr>
        <w:tc>
          <w:tcPr>
            <w:tcW w:type="dxa" w:w="2000"/>
            <w:tcMar>
              <w:top w:type="dxa" w:w="80"/>
              <w:left w:type="dxa" w:w="100"/>
              <w:bottom w:type="dxa" w:w="80"/>
              <w:right w:type="dxa" w:w="100"/>
            </w:tcMar>
            <w:vAlign w:val="center"/>
          </w:tcPr>
          <w:p>
            <w:r>
              <w:rPr>
                <w:b/>
                <w:bCs/>
                <w:sz w:val="17"/>
                <w:szCs w:val="17"/>
              </w:rPr>
              <w:t xml:space="preserve">DOM injection</w:t>
            </w:r>
          </w:p>
        </w:tc>
        <w:tc>
          <w:tcPr>
            <w:tcW w:type="dxa" w:w="1300"/>
            <w:shd w:fill="D9EAD3" w:val="clear"/>
            <w:tcMar>
              <w:top w:type="dxa" w:w="80"/>
              <w:left w:type="dxa" w:w="100"/>
              <w:bottom w:type="dxa" w:w="80"/>
              <w:right w:type="dxa" w:w="100"/>
            </w:tcMar>
            <w:vAlign w:val="center"/>
          </w:tcPr>
          <w:p>
            <w:r>
              <w:rPr>
                <w:b/>
                <w:bCs/>
                <w:sz w:val="17"/>
                <w:szCs w:val="17"/>
              </w:rPr>
              <w:t xml:space="preserve">Pass</w:t>
            </w:r>
          </w:p>
        </w:tc>
        <w:tc>
          <w:tcPr>
            <w:tcW w:type="dxa" w:w="6060"/>
            <w:tcMar>
              <w:top w:type="dxa" w:w="80"/>
              <w:left w:type="dxa" w:w="100"/>
              <w:bottom w:type="dxa" w:w="80"/>
              <w:right w:type="dxa" w:w="100"/>
            </w:tcMar>
            <w:vAlign w:val="center"/>
          </w:tcPr>
          <w:p>
            <w:r>
              <w:rPr>
                <w:b w:val="false"/>
                <w:bCs w:val="false"/>
                <w:sz w:val="17"/>
                <w:szCs w:val="17"/>
              </w:rPr>
              <w:t xml:space="preserve">Same basis as XSS — no raw DOM-writing APIs are used anywhere in the reviewed client code.</w:t>
            </w:r>
          </w:p>
        </w:tc>
      </w:tr>
      <w:tr>
        <w:tc>
          <w:tcPr>
            <w:tcW w:type="dxa" w:w="2000"/>
            <w:tcMar>
              <w:top w:type="dxa" w:w="80"/>
              <w:left w:type="dxa" w:w="100"/>
              <w:bottom w:type="dxa" w:w="80"/>
              <w:right w:type="dxa" w:w="100"/>
            </w:tcMar>
            <w:vAlign w:val="center"/>
          </w:tcPr>
          <w:p>
            <w:r>
              <w:rPr>
                <w:b/>
                <w:bCs/>
                <w:sz w:val="17"/>
                <w:szCs w:val="17"/>
              </w:rPr>
              <w:t xml:space="preserve">Markdown rendering</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markdown library (react-markdown, marked, etc.) is used anywhere; all text renders as plain escaped JSX today. Revisit this the moment markdown rendering is added — that reintroduces an XSS-relevant surface that doesn't exist yet.</w:t>
            </w:r>
          </w:p>
        </w:tc>
      </w:tr>
      <w:tr>
        <w:tc>
          <w:tcPr>
            <w:tcW w:type="dxa" w:w="2000"/>
            <w:tcMar>
              <w:top w:type="dxa" w:w="80"/>
              <w:left w:type="dxa" w:w="100"/>
              <w:bottom w:type="dxa" w:w="80"/>
              <w:right w:type="dxa" w:w="100"/>
            </w:tcMar>
            <w:vAlign w:val="center"/>
          </w:tcPr>
          <w:p>
            <w:r>
              <w:rPr>
                <w:b/>
                <w:bCs/>
                <w:sz w:val="17"/>
                <w:szCs w:val="17"/>
              </w:rPr>
              <w:t xml:space="preserve">LocalStorage</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Holds both the auth token (reflectai_token) and UI preferences (equoria-settings) in cleartext, readable by any script that runs in the page.</w:t>
            </w:r>
          </w:p>
        </w:tc>
      </w:tr>
      <w:tr>
        <w:tc>
          <w:tcPr>
            <w:tcW w:type="dxa" w:w="2000"/>
            <w:tcMar>
              <w:top w:type="dxa" w:w="80"/>
              <w:left w:type="dxa" w:w="100"/>
              <w:bottom w:type="dxa" w:w="80"/>
              <w:right w:type="dxa" w:w="100"/>
            </w:tcMar>
            <w:vAlign w:val="center"/>
          </w:tcPr>
          <w:p>
            <w:r>
              <w:rPr>
                <w:b/>
                <w:bCs/>
                <w:sz w:val="17"/>
                <w:szCs w:val="17"/>
              </w:rPr>
              <w:t xml:space="preserve">Clipboard</w:t>
            </w:r>
          </w:p>
        </w:tc>
        <w:tc>
          <w:tcPr>
            <w:tcW w:type="dxa" w:w="1300"/>
            <w:shd w:fill="E1E6EC" w:val="clear"/>
            <w:tcMar>
              <w:top w:type="dxa" w:w="80"/>
              <w:left w:type="dxa" w:w="100"/>
              <w:bottom w:type="dxa" w:w="80"/>
              <w:right w:type="dxa" w:w="100"/>
            </w:tcMar>
            <w:vAlign w:val="center"/>
          </w:tcPr>
          <w:p>
            <w:r>
              <w:rPr>
                <w:b/>
                <w:bCs/>
                <w:sz w:val="17"/>
                <w:szCs w:val="17"/>
              </w:rPr>
              <w:t xml:space="preserve">N/A</w:t>
            </w:r>
          </w:p>
        </w:tc>
        <w:tc>
          <w:tcPr>
            <w:tcW w:type="dxa" w:w="6060"/>
            <w:tcMar>
              <w:top w:type="dxa" w:w="80"/>
              <w:left w:type="dxa" w:w="100"/>
              <w:bottom w:type="dxa" w:w="80"/>
              <w:right w:type="dxa" w:w="100"/>
            </w:tcMar>
            <w:vAlign w:val="center"/>
          </w:tcPr>
          <w:p>
            <w:r>
              <w:rPr>
                <w:b w:val="false"/>
                <w:bCs w:val="false"/>
                <w:sz w:val="17"/>
                <w:szCs w:val="17"/>
              </w:rPr>
              <w:t xml:space="preserve">No clipboard API usage (no navigator.clipboard calls) exists anywhere in the client — nothing to review.</w:t>
            </w:r>
          </w:p>
        </w:tc>
      </w:tr>
      <w:tr>
        <w:tc>
          <w:tcPr>
            <w:tcW w:type="dxa" w:w="2000"/>
            <w:tcMar>
              <w:top w:type="dxa" w:w="80"/>
              <w:left w:type="dxa" w:w="100"/>
              <w:bottom w:type="dxa" w:w="80"/>
              <w:right w:type="dxa" w:w="100"/>
            </w:tcMar>
            <w:vAlign w:val="center"/>
          </w:tcPr>
          <w:p>
            <w:r>
              <w:rPr>
                <w:b/>
                <w:bCs/>
                <w:sz w:val="17"/>
                <w:szCs w:val="17"/>
              </w:rPr>
              <w:t xml:space="preserve">CSP</w:t>
            </w:r>
          </w:p>
        </w:tc>
        <w:tc>
          <w:tcPr>
            <w:tcW w:type="dxa" w:w="1300"/>
            <w:shd w:fill="F5C6C6" w:val="clear"/>
            <w:tcMar>
              <w:top w:type="dxa" w:w="80"/>
              <w:left w:type="dxa" w:w="100"/>
              <w:bottom w:type="dxa" w:w="80"/>
              <w:right w:type="dxa" w:w="100"/>
            </w:tcMar>
            <w:vAlign w:val="center"/>
          </w:tcPr>
          <w:p>
            <w:r>
              <w:rPr>
                <w:b/>
                <w:bCs/>
                <w:sz w:val="17"/>
                <w:szCs w:val="17"/>
              </w:rPr>
              <w:t xml:space="preserve">Fail</w:t>
            </w:r>
          </w:p>
        </w:tc>
        <w:tc>
          <w:tcPr>
            <w:tcW w:type="dxa" w:w="6060"/>
            <w:tcMar>
              <w:top w:type="dxa" w:w="80"/>
              <w:left w:type="dxa" w:w="100"/>
              <w:bottom w:type="dxa" w:w="80"/>
              <w:right w:type="dxa" w:w="100"/>
            </w:tcMar>
            <w:vAlign w:val="center"/>
          </w:tcPr>
          <w:p>
            <w:r>
              <w:rPr>
                <w:b w:val="false"/>
                <w:bCs w:val="false"/>
                <w:sz w:val="17"/>
                <w:szCs w:val="17"/>
              </w:rPr>
              <w:t xml:space="preserve">No CSP meta tag in index.html and no CSP response header from the server — the same underlying gap as Infrastructure #3, restated here because it specifically determines how bad a future client-side XSS would be allowed to get.</w:t>
            </w:r>
          </w:p>
        </w:tc>
      </w:tr>
    </w:tbl>
    <w:p>
      <w:r>
        <w:br w:type="page"/>
      </w:r>
    </w:p>
    <w:p>
      <w:pPr>
        <w:pStyle w:val="Heading1"/>
        <w:spacing w:after="200" w:before="400"/>
      </w:pPr>
      <w:r>
        <w:t xml:space="preserve">9. Summary — Items per Category</w:t>
      </w:r>
    </w:p>
    <w:p>
      <w:pPr>
        <w:spacing w:after="160" w:line="276"/>
      </w:pPr>
      <w:r>
        <w:t xml:space="preserve">Authorization is scored as 11/11 Pass (endpoint review) rather than fitting the same item list as other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shd w:fill="D9D9D9" w:val="clear"/>
            <w:tcMar>
              <w:top w:type="dxa" w:w="80"/>
              <w:left w:type="dxa" w:w="100"/>
              <w:bottom w:type="dxa" w:w="80"/>
              <w:right w:type="dxa" w:w="100"/>
            </w:tcMar>
            <w:vAlign w:val="center"/>
          </w:tcPr>
          <w:p>
            <w:r>
              <w:rPr>
                <w:b/>
                <w:bCs/>
                <w:sz w:val="17"/>
                <w:szCs w:val="17"/>
              </w:rPr>
              <w:t xml:space="preserve">Category</w:t>
            </w:r>
          </w:p>
        </w:tc>
        <w:tc>
          <w:tcPr>
            <w:tcW w:type="dxa" w:w="1690"/>
            <w:shd w:fill="D9D9D9" w:val="clear"/>
            <w:tcMar>
              <w:top w:type="dxa" w:w="80"/>
              <w:left w:type="dxa" w:w="100"/>
              <w:bottom w:type="dxa" w:w="80"/>
              <w:right w:type="dxa" w:w="100"/>
            </w:tcMar>
            <w:vAlign w:val="center"/>
          </w:tcPr>
          <w:p>
            <w:r>
              <w:rPr>
                <w:b/>
                <w:bCs/>
                <w:sz w:val="17"/>
                <w:szCs w:val="17"/>
              </w:rPr>
              <w:t xml:space="preserve">Pass</w:t>
            </w:r>
          </w:p>
        </w:tc>
        <w:tc>
          <w:tcPr>
            <w:tcW w:type="dxa" w:w="1690"/>
            <w:shd w:fill="D9D9D9" w:val="clear"/>
            <w:tcMar>
              <w:top w:type="dxa" w:w="80"/>
              <w:left w:type="dxa" w:w="100"/>
              <w:bottom w:type="dxa" w:w="80"/>
              <w:right w:type="dxa" w:w="100"/>
            </w:tcMar>
            <w:vAlign w:val="center"/>
          </w:tcPr>
          <w:p>
            <w:r>
              <w:rPr>
                <w:b/>
                <w:bCs/>
                <w:sz w:val="17"/>
                <w:szCs w:val="17"/>
              </w:rPr>
              <w:t xml:space="preserve">Partial</w:t>
            </w:r>
          </w:p>
        </w:tc>
        <w:tc>
          <w:tcPr>
            <w:tcW w:type="dxa" w:w="1690"/>
            <w:shd w:fill="D9D9D9" w:val="clear"/>
            <w:tcMar>
              <w:top w:type="dxa" w:w="80"/>
              <w:left w:type="dxa" w:w="100"/>
              <w:bottom w:type="dxa" w:w="80"/>
              <w:right w:type="dxa" w:w="100"/>
            </w:tcMar>
            <w:vAlign w:val="center"/>
          </w:tcPr>
          <w:p>
            <w:r>
              <w:rPr>
                <w:b/>
                <w:bCs/>
                <w:sz w:val="17"/>
                <w:szCs w:val="17"/>
              </w:rPr>
              <w:t xml:space="preserve">Fail</w:t>
            </w:r>
          </w:p>
        </w:tc>
        <w:tc>
          <w:tcPr>
            <w:tcW w:type="dxa" w:w="1690"/>
            <w:shd w:fill="D9D9D9" w:val="clear"/>
            <w:tcMar>
              <w:top w:type="dxa" w:w="80"/>
              <w:left w:type="dxa" w:w="100"/>
              <w:bottom w:type="dxa" w:w="80"/>
              <w:right w:type="dxa" w:w="100"/>
            </w:tcMar>
            <w:vAlign w:val="center"/>
          </w:tcPr>
          <w:p>
            <w:r>
              <w:rPr>
                <w:b/>
                <w:bCs/>
                <w:sz w:val="17"/>
                <w:szCs w:val="17"/>
              </w:rPr>
              <w:t xml:space="preserve">N/A</w:t>
            </w:r>
          </w:p>
        </w:tc>
      </w:tr>
      <w:tr>
        <w:tc>
          <w:tcPr>
            <w:tcW w:type="dxa" w:w="2600"/>
            <w:tcMar>
              <w:top w:type="dxa" w:w="80"/>
              <w:left w:type="dxa" w:w="100"/>
              <w:bottom w:type="dxa" w:w="80"/>
              <w:right w:type="dxa" w:w="100"/>
            </w:tcMar>
            <w:vAlign w:val="center"/>
          </w:tcPr>
          <w:p>
            <w:r>
              <w:rPr>
                <w:b/>
                <w:bCs/>
                <w:sz w:val="17"/>
                <w:szCs w:val="17"/>
              </w:rPr>
              <w:t xml:space="preserve">Authentication (9)</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1</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3</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5</w:t>
            </w:r>
          </w:p>
        </w:tc>
        <w:tc>
          <w:tcPr>
            <w:tcW w:type="dxa" w:w="1690"/>
            <w:tcMar>
              <w:top w:type="dxa" w:w="80"/>
              <w:left w:type="dxa" w:w="100"/>
              <w:bottom w:type="dxa" w:w="80"/>
              <w:right w:type="dxa" w:w="100"/>
            </w:tcMar>
            <w:vAlign w:val="center"/>
          </w:tcPr>
          <w:p>
            <w:r>
              <w:rPr>
                <w:b w:val="false"/>
                <w:bCs w:val="false"/>
                <w:sz w:val="17"/>
                <w:szCs w:val="17"/>
              </w:rPr>
              <w:t xml:space="preserve">0</w:t>
            </w:r>
          </w:p>
        </w:tc>
      </w:tr>
      <w:tr>
        <w:tc>
          <w:tcPr>
            <w:tcW w:type="dxa" w:w="2600"/>
            <w:tcMar>
              <w:top w:type="dxa" w:w="80"/>
              <w:left w:type="dxa" w:w="100"/>
              <w:bottom w:type="dxa" w:w="80"/>
              <w:right w:type="dxa" w:w="100"/>
            </w:tcMar>
            <w:vAlign w:val="center"/>
          </w:tcPr>
          <w:p>
            <w:r>
              <w:rPr>
                <w:b/>
                <w:bCs/>
                <w:sz w:val="17"/>
                <w:szCs w:val="17"/>
              </w:rPr>
              <w:t xml:space="preserve">Authorization (11 endpoints)</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11</w:t>
            </w:r>
          </w:p>
        </w:tc>
        <w:tc>
          <w:tcPr>
            <w:tcW w:type="dxa" w:w="1690"/>
            <w:tcMar>
              <w:top w:type="dxa" w:w="80"/>
              <w:left w:type="dxa" w:w="100"/>
              <w:bottom w:type="dxa" w:w="80"/>
              <w:right w:type="dxa" w:w="100"/>
            </w:tcMar>
            <w:vAlign w:val="center"/>
          </w:tcPr>
          <w:p>
            <w:r>
              <w:rPr>
                <w:b w:val="false"/>
                <w:bCs w:val="false"/>
                <w:sz w:val="17"/>
                <w:szCs w:val="17"/>
              </w:rPr>
              <w:t xml:space="preserve">0</w:t>
            </w:r>
          </w:p>
        </w:tc>
        <w:tc>
          <w:tcPr>
            <w:tcW w:type="dxa" w:w="1690"/>
            <w:tcMar>
              <w:top w:type="dxa" w:w="80"/>
              <w:left w:type="dxa" w:w="100"/>
              <w:bottom w:type="dxa" w:w="80"/>
              <w:right w:type="dxa" w:w="100"/>
            </w:tcMar>
            <w:vAlign w:val="center"/>
          </w:tcPr>
          <w:p>
            <w:r>
              <w:rPr>
                <w:b w:val="false"/>
                <w:bCs w:val="false"/>
                <w:sz w:val="17"/>
                <w:szCs w:val="17"/>
              </w:rPr>
              <w:t xml:space="preserve">0</w:t>
            </w:r>
          </w:p>
        </w:tc>
        <w:tc>
          <w:tcPr>
            <w:tcW w:type="dxa" w:w="1690"/>
            <w:tcMar>
              <w:top w:type="dxa" w:w="80"/>
              <w:left w:type="dxa" w:w="100"/>
              <w:bottom w:type="dxa" w:w="80"/>
              <w:right w:type="dxa" w:w="100"/>
            </w:tcMar>
            <w:vAlign w:val="center"/>
          </w:tcPr>
          <w:p>
            <w:r>
              <w:rPr>
                <w:b w:val="false"/>
                <w:bCs w:val="false"/>
                <w:sz w:val="17"/>
                <w:szCs w:val="17"/>
              </w:rPr>
              <w:t xml:space="preserve">0</w:t>
            </w:r>
          </w:p>
        </w:tc>
      </w:tr>
      <w:tr>
        <w:tc>
          <w:tcPr>
            <w:tcW w:type="dxa" w:w="2600"/>
            <w:tcMar>
              <w:top w:type="dxa" w:w="80"/>
              <w:left w:type="dxa" w:w="100"/>
              <w:bottom w:type="dxa" w:w="80"/>
              <w:right w:type="dxa" w:w="100"/>
            </w:tcMar>
            <w:vAlign w:val="center"/>
          </w:tcPr>
          <w:p>
            <w:r>
              <w:rPr>
                <w:b/>
                <w:bCs/>
                <w:sz w:val="17"/>
                <w:szCs w:val="17"/>
              </w:rPr>
              <w:t xml:space="preserve">Input Validation (8)</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4</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2</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1</w:t>
            </w:r>
          </w:p>
        </w:tc>
        <w:tc>
          <w:tcPr>
            <w:tcW w:type="dxa" w:w="1690"/>
            <w:shd w:fill="E1E6EC" w:val="clear"/>
            <w:tcMar>
              <w:top w:type="dxa" w:w="80"/>
              <w:left w:type="dxa" w:w="100"/>
              <w:bottom w:type="dxa" w:w="80"/>
              <w:right w:type="dxa" w:w="100"/>
            </w:tcMar>
            <w:vAlign w:val="center"/>
          </w:tcPr>
          <w:p>
            <w:r>
              <w:rPr>
                <w:b w:val="false"/>
                <w:bCs w:val="false"/>
                <w:sz w:val="17"/>
                <w:szCs w:val="17"/>
              </w:rPr>
              <w:t xml:space="preserve">1</w:t>
            </w:r>
          </w:p>
        </w:tc>
      </w:tr>
      <w:tr>
        <w:tc>
          <w:tcPr>
            <w:tcW w:type="dxa" w:w="2600"/>
            <w:tcMar>
              <w:top w:type="dxa" w:w="80"/>
              <w:left w:type="dxa" w:w="100"/>
              <w:bottom w:type="dxa" w:w="80"/>
              <w:right w:type="dxa" w:w="100"/>
            </w:tcMar>
            <w:vAlign w:val="center"/>
          </w:tcPr>
          <w:p>
            <w:r>
              <w:rPr>
                <w:b/>
                <w:bCs/>
                <w:sz w:val="17"/>
                <w:szCs w:val="17"/>
              </w:rPr>
              <w:t xml:space="preserve">AI Security (9)</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1</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5</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3</w:t>
            </w:r>
          </w:p>
        </w:tc>
        <w:tc>
          <w:tcPr>
            <w:tcW w:type="dxa" w:w="1690"/>
            <w:tcMar>
              <w:top w:type="dxa" w:w="80"/>
              <w:left w:type="dxa" w:w="100"/>
              <w:bottom w:type="dxa" w:w="80"/>
              <w:right w:type="dxa" w:w="100"/>
            </w:tcMar>
            <w:vAlign w:val="center"/>
          </w:tcPr>
          <w:p>
            <w:r>
              <w:rPr>
                <w:b w:val="false"/>
                <w:bCs w:val="false"/>
                <w:sz w:val="17"/>
                <w:szCs w:val="17"/>
              </w:rPr>
              <w:t xml:space="preserve">0</w:t>
            </w:r>
          </w:p>
        </w:tc>
      </w:tr>
      <w:tr>
        <w:tc>
          <w:tcPr>
            <w:tcW w:type="dxa" w:w="2600"/>
            <w:tcMar>
              <w:top w:type="dxa" w:w="80"/>
              <w:left w:type="dxa" w:w="100"/>
              <w:bottom w:type="dxa" w:w="80"/>
              <w:right w:type="dxa" w:w="100"/>
            </w:tcMar>
            <w:vAlign w:val="center"/>
          </w:tcPr>
          <w:p>
            <w:r>
              <w:rPr>
                <w:b/>
                <w:bCs/>
                <w:sz w:val="17"/>
                <w:szCs w:val="17"/>
              </w:rPr>
              <w:t xml:space="preserve">Privacy (7)</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1</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2</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4</w:t>
            </w:r>
          </w:p>
        </w:tc>
        <w:tc>
          <w:tcPr>
            <w:tcW w:type="dxa" w:w="1690"/>
            <w:tcMar>
              <w:top w:type="dxa" w:w="80"/>
              <w:left w:type="dxa" w:w="100"/>
              <w:bottom w:type="dxa" w:w="80"/>
              <w:right w:type="dxa" w:w="100"/>
            </w:tcMar>
            <w:vAlign w:val="center"/>
          </w:tcPr>
          <w:p>
            <w:r>
              <w:rPr>
                <w:b w:val="false"/>
                <w:bCs w:val="false"/>
                <w:sz w:val="17"/>
                <w:szCs w:val="17"/>
              </w:rPr>
              <w:t xml:space="preserve">0</w:t>
            </w:r>
          </w:p>
        </w:tc>
      </w:tr>
      <w:tr>
        <w:tc>
          <w:tcPr>
            <w:tcW w:type="dxa" w:w="2600"/>
            <w:tcMar>
              <w:top w:type="dxa" w:w="80"/>
              <w:left w:type="dxa" w:w="100"/>
              <w:bottom w:type="dxa" w:w="80"/>
              <w:right w:type="dxa" w:w="100"/>
            </w:tcMar>
            <w:vAlign w:val="center"/>
          </w:tcPr>
          <w:p>
            <w:r>
              <w:rPr>
                <w:b/>
                <w:bCs/>
                <w:sz w:val="17"/>
                <w:szCs w:val="17"/>
              </w:rPr>
              <w:t xml:space="preserve">Infrastructure (11)</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1</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3</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3</w:t>
            </w:r>
          </w:p>
        </w:tc>
        <w:tc>
          <w:tcPr>
            <w:tcW w:type="dxa" w:w="1690"/>
            <w:shd w:fill="E1E6EC" w:val="clear"/>
            <w:tcMar>
              <w:top w:type="dxa" w:w="80"/>
              <w:left w:type="dxa" w:w="100"/>
              <w:bottom w:type="dxa" w:w="80"/>
              <w:right w:type="dxa" w:w="100"/>
            </w:tcMar>
            <w:vAlign w:val="center"/>
          </w:tcPr>
          <w:p>
            <w:r>
              <w:rPr>
                <w:b w:val="false"/>
                <w:bCs w:val="false"/>
                <w:sz w:val="17"/>
                <w:szCs w:val="17"/>
              </w:rPr>
              <w:t xml:space="preserve">4</w:t>
            </w:r>
          </w:p>
        </w:tc>
      </w:tr>
      <w:tr>
        <w:tc>
          <w:tcPr>
            <w:tcW w:type="dxa" w:w="2600"/>
            <w:tcMar>
              <w:top w:type="dxa" w:w="80"/>
              <w:left w:type="dxa" w:w="100"/>
              <w:bottom w:type="dxa" w:w="80"/>
              <w:right w:type="dxa" w:w="100"/>
            </w:tcMar>
            <w:vAlign w:val="center"/>
          </w:tcPr>
          <w:p>
            <w:r>
              <w:rPr>
                <w:b/>
                <w:bCs/>
                <w:sz w:val="17"/>
                <w:szCs w:val="17"/>
              </w:rPr>
              <w:t xml:space="preserve">Database (7)</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3</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1</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1</w:t>
            </w:r>
          </w:p>
        </w:tc>
        <w:tc>
          <w:tcPr>
            <w:tcW w:type="dxa" w:w="1690"/>
            <w:shd w:fill="E1E6EC" w:val="clear"/>
            <w:tcMar>
              <w:top w:type="dxa" w:w="80"/>
              <w:left w:type="dxa" w:w="100"/>
              <w:bottom w:type="dxa" w:w="80"/>
              <w:right w:type="dxa" w:w="100"/>
            </w:tcMar>
            <w:vAlign w:val="center"/>
          </w:tcPr>
          <w:p>
            <w:r>
              <w:rPr>
                <w:b w:val="false"/>
                <w:bCs w:val="false"/>
                <w:sz w:val="17"/>
                <w:szCs w:val="17"/>
              </w:rPr>
              <w:t xml:space="preserve">2</w:t>
            </w:r>
          </w:p>
        </w:tc>
      </w:tr>
      <w:tr>
        <w:tc>
          <w:tcPr>
            <w:tcW w:type="dxa" w:w="2600"/>
            <w:tcMar>
              <w:top w:type="dxa" w:w="80"/>
              <w:left w:type="dxa" w:w="100"/>
              <w:bottom w:type="dxa" w:w="80"/>
              <w:right w:type="dxa" w:w="100"/>
            </w:tcMar>
            <w:vAlign w:val="center"/>
          </w:tcPr>
          <w:p>
            <w:r>
              <w:rPr>
                <w:b/>
                <w:bCs/>
                <w:sz w:val="17"/>
                <w:szCs w:val="17"/>
              </w:rPr>
              <w:t xml:space="preserve">Frontend (7)</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2</w:t>
            </w:r>
          </w:p>
        </w:tc>
        <w:tc>
          <w:tcPr>
            <w:tcW w:type="dxa" w:w="1690"/>
            <w:tcMar>
              <w:top w:type="dxa" w:w="80"/>
              <w:left w:type="dxa" w:w="100"/>
              <w:bottom w:type="dxa" w:w="80"/>
              <w:right w:type="dxa" w:w="100"/>
            </w:tcMar>
            <w:vAlign w:val="center"/>
          </w:tcPr>
          <w:p>
            <w:r>
              <w:rPr>
                <w:b w:val="false"/>
                <w:bCs w:val="false"/>
                <w:sz w:val="17"/>
                <w:szCs w:val="17"/>
              </w:rPr>
              <w:t xml:space="preserve">0</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3</w:t>
            </w:r>
          </w:p>
        </w:tc>
        <w:tc>
          <w:tcPr>
            <w:tcW w:type="dxa" w:w="1690"/>
            <w:shd w:fill="E1E6EC" w:val="clear"/>
            <w:tcMar>
              <w:top w:type="dxa" w:w="80"/>
              <w:left w:type="dxa" w:w="100"/>
              <w:bottom w:type="dxa" w:w="80"/>
              <w:right w:type="dxa" w:w="100"/>
            </w:tcMar>
            <w:vAlign w:val="center"/>
          </w:tcPr>
          <w:p>
            <w:r>
              <w:rPr>
                <w:b w:val="false"/>
                <w:bCs w:val="false"/>
                <w:sz w:val="17"/>
                <w:szCs w:val="17"/>
              </w:rPr>
              <w:t xml:space="preserve">2</w:t>
            </w:r>
          </w:p>
        </w:tc>
      </w:tr>
      <w:tr>
        <w:tc>
          <w:tcPr>
            <w:tcW w:type="dxa" w:w="2600"/>
            <w:tcMar>
              <w:top w:type="dxa" w:w="80"/>
              <w:left w:type="dxa" w:w="100"/>
              <w:bottom w:type="dxa" w:w="80"/>
              <w:right w:type="dxa" w:w="100"/>
            </w:tcMar>
            <w:vAlign w:val="center"/>
          </w:tcPr>
          <w:p>
            <w:r>
              <w:rPr>
                <w:b/>
                <w:bCs/>
                <w:sz w:val="17"/>
                <w:szCs w:val="17"/>
              </w:rPr>
              <w:t xml:space="preserve">TOTAL (69 items)</w:t>
            </w:r>
          </w:p>
        </w:tc>
        <w:tc>
          <w:tcPr>
            <w:tcW w:type="dxa" w:w="1690"/>
            <w:shd w:fill="D9EAD3" w:val="clear"/>
            <w:tcMar>
              <w:top w:type="dxa" w:w="80"/>
              <w:left w:type="dxa" w:w="100"/>
              <w:bottom w:type="dxa" w:w="80"/>
              <w:right w:type="dxa" w:w="100"/>
            </w:tcMar>
            <w:vAlign w:val="center"/>
          </w:tcPr>
          <w:p>
            <w:r>
              <w:rPr>
                <w:b w:val="false"/>
                <w:bCs w:val="false"/>
                <w:sz w:val="17"/>
                <w:szCs w:val="17"/>
              </w:rPr>
              <w:t xml:space="preserve">24</w:t>
            </w:r>
          </w:p>
        </w:tc>
        <w:tc>
          <w:tcPr>
            <w:tcW w:type="dxa" w:w="1690"/>
            <w:shd w:fill="FCF3B0" w:val="clear"/>
            <w:tcMar>
              <w:top w:type="dxa" w:w="80"/>
              <w:left w:type="dxa" w:w="100"/>
              <w:bottom w:type="dxa" w:w="80"/>
              <w:right w:type="dxa" w:w="100"/>
            </w:tcMar>
            <w:vAlign w:val="center"/>
          </w:tcPr>
          <w:p>
            <w:r>
              <w:rPr>
                <w:b w:val="false"/>
                <w:bCs w:val="false"/>
                <w:sz w:val="17"/>
                <w:szCs w:val="17"/>
              </w:rPr>
              <w:t xml:space="preserve">16</w:t>
            </w:r>
          </w:p>
        </w:tc>
        <w:tc>
          <w:tcPr>
            <w:tcW w:type="dxa" w:w="1690"/>
            <w:shd w:fill="F5C6C6" w:val="clear"/>
            <w:tcMar>
              <w:top w:type="dxa" w:w="80"/>
              <w:left w:type="dxa" w:w="100"/>
              <w:bottom w:type="dxa" w:w="80"/>
              <w:right w:type="dxa" w:w="100"/>
            </w:tcMar>
            <w:vAlign w:val="center"/>
          </w:tcPr>
          <w:p>
            <w:r>
              <w:rPr>
                <w:b w:val="false"/>
                <w:bCs w:val="false"/>
                <w:sz w:val="17"/>
                <w:szCs w:val="17"/>
              </w:rPr>
              <w:t xml:space="preserve">20</w:t>
            </w:r>
          </w:p>
        </w:tc>
        <w:tc>
          <w:tcPr>
            <w:tcW w:type="dxa" w:w="1690"/>
            <w:shd w:fill="E1E6EC" w:val="clear"/>
            <w:tcMar>
              <w:top w:type="dxa" w:w="80"/>
              <w:left w:type="dxa" w:w="100"/>
              <w:bottom w:type="dxa" w:w="80"/>
              <w:right w:type="dxa" w:w="100"/>
            </w:tcMar>
            <w:vAlign w:val="center"/>
          </w:tcPr>
          <w:p>
            <w:r>
              <w:rPr>
                <w:b w:val="false"/>
                <w:bCs w:val="false"/>
                <w:sz w:val="17"/>
                <w:szCs w:val="17"/>
              </w:rPr>
              <w:t xml:space="preserve">9</w:t>
            </w:r>
          </w:p>
        </w:tc>
      </w:tr>
    </w:tbl>
    <w:p>
      <w:r>
        <w:br w:type="page"/>
      </w:r>
    </w:p>
    <w:p>
      <w:pPr>
        <w:pStyle w:val="Heading1"/>
        <w:spacing w:after="200" w:before="400"/>
      </w:pPr>
      <w:r>
        <w:t xml:space="preserve">Appendix: Items New to This Phase</w:t>
      </w:r>
    </w:p>
    <w:p>
      <w:pPr>
        <w:spacing w:after="160" w:line="276"/>
      </w:pPr>
      <w:r>
        <w:t xml:space="preserve">Most items above corroborate Phase 1/2 findings at finer granularity. These six did not appear in either earlier document and were found during this pass:</w:t>
      </w:r>
    </w:p>
    <w:p>
      <w:pPr>
        <w:pStyle w:val="ListParagraph"/>
        <w:numPr>
          <w:ilvl w:val="0"/>
          <w:numId w:val="2"/>
        </w:numPr>
        <w:spacing w:after="90" w:line="276"/>
      </w:pPr>
      <w:r>
        <w:t xml:space="preserve">Login timing side-channel (Authentication #3) — response time alone distinguishes registered vs. unregistered emails, independent of the identical error message.</w:t>
      </w:r>
    </w:p>
    <w:p>
      <w:pPr>
        <w:pStyle w:val="ListParagraph"/>
        <w:numPr>
          <w:ilvl w:val="0"/>
          <w:numId w:val="2"/>
        </w:numPr>
        <w:spacing w:after="90" w:line="276"/>
      </w:pPr>
      <w:r>
        <w:t xml:space="preserve">Email case-sensitivity bug (Input Validation #7) — findOne({ email }) queries the raw client-cased value against a schema that only lowercases on save, in both register and login.</w:t>
      </w:r>
    </w:p>
    <w:p>
      <w:pPr>
        <w:pStyle w:val="ListParagraph"/>
        <w:numPr>
          <w:ilvl w:val="0"/>
          <w:numId w:val="2"/>
        </w:numPr>
        <w:spacing w:after="90" w:line="276"/>
      </w:pPr>
      <w:r>
        <w:t xml:space="preserve">Unvalidated dashboard range query parameter (Input Validation #3) — the one query input in the app that bypasses Zod entirely, safe today only by incidental String() coercion.</w:t>
      </w:r>
    </w:p>
    <w:p>
      <w:pPr>
        <w:pStyle w:val="ListParagraph"/>
        <w:numPr>
          <w:ilvl w:val="0"/>
          <w:numId w:val="2"/>
        </w:numPr>
        <w:spacing w:after="90" w:line="276"/>
      </w:pPr>
      <w:r>
        <w:t xml:space="preserve">JSON parse error message passthrough (Input Validation #5) — malformed request bodies surface raw parser error text to the client.</w:t>
      </w:r>
    </w:p>
    <w:p>
      <w:pPr>
        <w:pStyle w:val="ListParagraph"/>
        <w:numPr>
          <w:ilvl w:val="0"/>
          <w:numId w:val="2"/>
        </w:numPr>
        <w:spacing w:after="90" w:line="276"/>
      </w:pPr>
      <w:r>
        <w:t xml:space="preserve">Context poisoning (AI Security #2) — a distinct AI-security concept from prompt injection: manipulation via accumulated stored data over time rather than a single request.</w:t>
      </w:r>
    </w:p>
    <w:p>
      <w:pPr>
        <w:pStyle w:val="ListParagraph"/>
        <w:numPr>
          <w:ilvl w:val="0"/>
          <w:numId w:val="2"/>
        </w:numPr>
        <w:spacing w:after="90" w:line="276"/>
      </w:pPr>
      <w:r>
        <w:t xml:space="preserve">Unbounded ChatSession growth (AI Security #9) — the turns array has no cap, trim, or archival strategy.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2937"/>
      <w:sz w:val="30"/>
      <w:szCs w:val="30"/>
    </w:rPr>
  </w:style>
  <w:style w:type="paragraph" w:styleId="Heading2">
    <w:name w:val="Heading 2"/>
    <w:basedOn w:val="Normal"/>
    <w:next w:val="Normal"/>
    <w:qFormat/>
    <w:pPr>
      <w:spacing w:after="140" w:before="260"/>
    </w:pPr>
    <w:rPr>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2026-08-01T09:28:13.161Z</dcterms:created>
  <dcterms:modified xsi:type="dcterms:W3CDTF">2026-08-01T09:28:13.161Z</dcterms:modified>
</cp:coreProperties>
</file>

<file path=docProps/custom.xml><?xml version="1.0" encoding="utf-8"?>
<Properties xmlns="http://schemas.openxmlformats.org/officeDocument/2006/custom-properties" xmlns:vt="http://schemas.openxmlformats.org/officeDocument/2006/docPropsVTypes"/>
</file>